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640" w:type="dxa"/>
        <w:tblInd w:w="-497"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14631" w:hRule="exact"/>
        </w:trPr>
        <w:tc>
          <w:tcPr>
            <w:tcW w:w="9640" w:type="dxa"/>
          </w:tcPr>
          <w:p>
            <w:pPr>
              <w:pStyle w:val="14"/>
              <w:keepNext w:val="0"/>
              <w:keepLines w:val="0"/>
              <w:pageBreakBefore w:val="0"/>
              <w:widowControl/>
              <w:kinsoku/>
              <w:wordWrap/>
              <w:overflowPunct/>
              <w:topLinePunct w:val="0"/>
              <w:autoSpaceDE/>
              <w:autoSpaceDN/>
              <w:bidi w:val="0"/>
              <w:adjustRightInd/>
              <w:snapToGrid w:val="0"/>
              <w:spacing w:before="157" w:beforeLines="50" w:line="280" w:lineRule="exact"/>
              <w:jc w:val="left"/>
              <w:textAlignment w:val="auto"/>
              <w:rPr>
                <w:rFonts w:asciiTheme="majorEastAsia" w:hAnsiTheme="majorEastAsia" w:eastAsiaTheme="majorEastAsia"/>
                <w:b/>
                <w:sz w:val="24"/>
              </w:rPr>
            </w:pPr>
            <w:r>
              <w:rPr>
                <w:rFonts w:hint="eastAsia" w:cs="仿宋" w:asciiTheme="majorEastAsia" w:hAnsiTheme="majorEastAsia" w:eastAsiaTheme="majorEastAsia"/>
                <w:b/>
                <w:sz w:val="28"/>
                <w:szCs w:val="28"/>
                <w:lang w:val="en-US" w:eastAsia="zh-CN"/>
              </w:rPr>
              <w:t>生态环境主管部门</w:t>
            </w:r>
            <w:r>
              <w:rPr>
                <w:rFonts w:hint="eastAsia" w:cs="仿宋" w:asciiTheme="majorEastAsia" w:hAnsiTheme="majorEastAsia" w:eastAsiaTheme="majorEastAsia"/>
                <w:b/>
                <w:sz w:val="28"/>
                <w:szCs w:val="28"/>
              </w:rPr>
              <w:t>审批意见：</w:t>
            </w:r>
            <w:r>
              <w:rPr>
                <w:rFonts w:hint="eastAsia" w:asciiTheme="majorEastAsia" w:hAnsiTheme="majorEastAsia" w:eastAsiaTheme="majorEastAsia"/>
                <w:b/>
                <w:sz w:val="24"/>
                <w:szCs w:val="24"/>
              </w:rPr>
              <w:t xml:space="preserve"> </w:t>
            </w:r>
            <w:r>
              <w:rPr>
                <w:rFonts w:hint="eastAsia" w:asciiTheme="majorEastAsia" w:hAnsiTheme="majorEastAsia" w:eastAsiaTheme="majorEastAsia"/>
                <w:b/>
                <w:sz w:val="24"/>
              </w:rPr>
              <w:t xml:space="preserve">                   </w:t>
            </w:r>
            <w:r>
              <w:rPr>
                <w:rFonts w:hint="eastAsia" w:asciiTheme="majorEastAsia" w:hAnsiTheme="majorEastAsia" w:eastAsiaTheme="majorEastAsia"/>
                <w:b/>
                <w:sz w:val="24"/>
                <w:lang w:val="en-US" w:eastAsia="zh-CN"/>
              </w:rPr>
              <w:t xml:space="preserve">           </w:t>
            </w:r>
            <w:r>
              <w:rPr>
                <w:rFonts w:hint="eastAsia" w:asciiTheme="majorEastAsia" w:hAnsiTheme="majorEastAsia" w:eastAsiaTheme="majorEastAsia"/>
                <w:b/>
                <w:sz w:val="24"/>
              </w:rPr>
              <w:t xml:space="preserve"> </w:t>
            </w:r>
            <w:r>
              <w:rPr>
                <w:rFonts w:hint="eastAsia" w:ascii="仿宋" w:hAnsi="仿宋" w:eastAsia="仿宋" w:cs="仿宋"/>
                <w:kern w:val="2"/>
                <w:sz w:val="21"/>
                <w:szCs w:val="21"/>
                <w:lang w:val="en-US" w:eastAsia="zh-CN" w:bidi="ar-SA"/>
              </w:rPr>
              <w:t>隆环评[2024]11号</w:t>
            </w:r>
            <w:r>
              <w:rPr>
                <w:rFonts w:hint="eastAsia" w:asciiTheme="majorEastAsia" w:hAnsiTheme="majorEastAsia" w:eastAsiaTheme="majorEastAsia"/>
                <w:b/>
                <w:sz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 xml:space="preserve"> 承德燕北矿业有限公司破碎站建设项目位于承德市隆化县韩麻营镇小乌苏沟村，厂区中心地理坐标为东经</w:t>
            </w:r>
            <w:r>
              <w:rPr>
                <w:rFonts w:hint="default" w:ascii="仿宋" w:hAnsi="仿宋" w:eastAsia="仿宋" w:cs="仿宋"/>
                <w:sz w:val="21"/>
                <w:szCs w:val="21"/>
                <w:lang w:val="en-US" w:eastAsia="zh-CN"/>
              </w:rPr>
              <w:t>117°49′28.334″</w:t>
            </w:r>
            <w:r>
              <w:rPr>
                <w:rFonts w:hint="eastAsia" w:ascii="仿宋" w:hAnsi="仿宋" w:eastAsia="仿宋" w:cs="仿宋"/>
                <w:sz w:val="21"/>
                <w:szCs w:val="21"/>
                <w:lang w:val="en-US" w:eastAsia="zh-CN"/>
              </w:rPr>
              <w:t>，北纬</w:t>
            </w:r>
            <w:r>
              <w:rPr>
                <w:rFonts w:hint="default" w:ascii="仿宋" w:hAnsi="仿宋" w:eastAsia="仿宋" w:cs="仿宋"/>
                <w:sz w:val="21"/>
                <w:szCs w:val="21"/>
                <w:lang w:val="en-US" w:eastAsia="zh-CN"/>
              </w:rPr>
              <w:t>41°12′24.319″</w:t>
            </w:r>
            <w:r>
              <w:rPr>
                <w:rFonts w:hint="eastAsia" w:ascii="仿宋" w:hAnsi="仿宋" w:eastAsia="仿宋" w:cs="仿宋"/>
                <w:sz w:val="21"/>
                <w:szCs w:val="21"/>
                <w:lang w:val="en-US" w:eastAsia="zh-CN"/>
              </w:rPr>
              <w:t>，项目总投资6500万元，环保投资500万元，主要建设内容及规模：占地面积</w:t>
            </w:r>
            <w:r>
              <w:rPr>
                <w:rFonts w:hint="default" w:ascii="仿宋" w:hAnsi="仿宋" w:eastAsia="仿宋" w:cs="仿宋"/>
                <w:sz w:val="21"/>
                <w:szCs w:val="21"/>
                <w:lang w:val="en-US" w:eastAsia="zh-CN"/>
              </w:rPr>
              <w:t>200</w:t>
            </w:r>
            <w:r>
              <w:rPr>
                <w:rFonts w:hint="eastAsia" w:ascii="仿宋" w:hAnsi="仿宋" w:eastAsia="仿宋" w:cs="仿宋"/>
                <w:sz w:val="21"/>
                <w:szCs w:val="21"/>
                <w:lang w:val="en-US" w:eastAsia="zh-CN"/>
              </w:rPr>
              <w:t>亩，建设粗碎车间、中细碎车间、筛分车间、干选车间、转运站、二次筛分车间、产品仓及带式输送机通廊，建筑面积共</w:t>
            </w:r>
            <w:r>
              <w:rPr>
                <w:rFonts w:hint="default" w:ascii="仿宋" w:hAnsi="仿宋" w:eastAsia="仿宋" w:cs="仿宋"/>
                <w:sz w:val="21"/>
                <w:szCs w:val="21"/>
                <w:lang w:val="en-US" w:eastAsia="zh-CN"/>
              </w:rPr>
              <w:t>55000</w:t>
            </w:r>
            <w:r>
              <w:rPr>
                <w:rFonts w:hint="eastAsia" w:ascii="仿宋" w:hAnsi="仿宋" w:eastAsia="仿宋" w:cs="仿宋"/>
                <w:sz w:val="21"/>
                <w:szCs w:val="21"/>
                <w:lang w:val="en-US" w:eastAsia="zh-CN"/>
              </w:rPr>
              <w:t>平方米，年碎矿</w:t>
            </w:r>
            <w:r>
              <w:rPr>
                <w:rFonts w:hint="default" w:ascii="仿宋" w:hAnsi="仿宋" w:eastAsia="仿宋" w:cs="仿宋"/>
                <w:sz w:val="21"/>
                <w:szCs w:val="21"/>
                <w:lang w:val="en-US" w:eastAsia="zh-CN"/>
              </w:rPr>
              <w:t>300</w:t>
            </w:r>
            <w:r>
              <w:rPr>
                <w:rFonts w:hint="eastAsia" w:ascii="仿宋" w:hAnsi="仿宋" w:eastAsia="仿宋" w:cs="仿宋"/>
                <w:sz w:val="21"/>
                <w:szCs w:val="21"/>
                <w:lang w:val="en-US" w:eastAsia="zh-CN"/>
              </w:rPr>
              <w:t>万吨。</w:t>
            </w:r>
            <w:r>
              <w:rPr>
                <w:rFonts w:hint="eastAsia" w:ascii="仿宋" w:hAnsi="仿宋" w:eastAsia="仿宋" w:cs="仿宋"/>
                <w:kern w:val="2"/>
                <w:sz w:val="21"/>
                <w:szCs w:val="21"/>
                <w:lang w:val="en-US" w:eastAsia="zh-CN" w:bidi="ar-SA"/>
              </w:rPr>
              <w:t>冬季取暖采用电取暖方式。</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一、经审查，项目建设取得了隆化县行政审批局出</w:t>
            </w:r>
            <w:r>
              <w:rPr>
                <w:rFonts w:hint="eastAsia" w:ascii="仿宋" w:hAnsi="仿宋" w:eastAsia="仿宋" w:cs="仿宋"/>
                <w:sz w:val="21"/>
                <w:szCs w:val="21"/>
                <w:lang w:val="en-US" w:eastAsia="zh-CN"/>
              </w:rPr>
              <w:t>具的企业投资项目备案信息（备案编号：隆审批投资备[2024]52号），符合国家相关产业政策。在严格落实环境影响报告表中提出的各项环境保护措施和要求、采取有效的环境风险防范措施的前提下，该项目“报告表”中所列项目的性质、规模、地点和拟采取的环境保护措施可以作为项目</w:t>
            </w:r>
            <w:r>
              <w:rPr>
                <w:rFonts w:hint="eastAsia" w:ascii="仿宋" w:hAnsi="仿宋" w:eastAsia="仿宋" w:cs="仿宋"/>
                <w:color w:val="191919"/>
                <w:sz w:val="21"/>
                <w:szCs w:val="21"/>
                <w:shd w:val="clear" w:color="auto" w:fill="FFFFFF"/>
                <w:lang w:val="en-US" w:eastAsia="zh-CN"/>
              </w:rPr>
              <w:t>实施依据，并重点做</w:t>
            </w:r>
            <w:r>
              <w:rPr>
                <w:rFonts w:hint="eastAsia" w:ascii="仿宋" w:hAnsi="仿宋" w:eastAsia="仿宋" w:cs="仿宋"/>
                <w:kern w:val="2"/>
                <w:sz w:val="21"/>
                <w:szCs w:val="21"/>
                <w:lang w:val="en-US" w:eastAsia="zh-CN" w:bidi="ar-SA"/>
              </w:rPr>
              <w:t>好以下工作：</w:t>
            </w:r>
          </w:p>
          <w:p>
            <w:pPr>
              <w:keepNext w:val="0"/>
              <w:keepLines w:val="0"/>
              <w:pageBreakBefore w:val="0"/>
              <w:numPr>
                <w:ilvl w:val="0"/>
                <w:numId w:val="0"/>
              </w:numPr>
              <w:kinsoku/>
              <w:wordWrap/>
              <w:overflowPunct/>
              <w:topLinePunct w:val="0"/>
              <w:autoSpaceDE/>
              <w:autoSpaceDN/>
              <w:bidi w:val="0"/>
              <w:spacing w:line="280" w:lineRule="exact"/>
              <w:ind w:firstLine="420" w:firstLineChars="200"/>
              <w:textAlignment w:val="auto"/>
              <w:rPr>
                <w:rFonts w:hint="eastAsia" w:ascii="仿宋" w:hAnsi="仿宋" w:eastAsia="仿宋" w:cs="仿宋"/>
                <w:color w:val="191919"/>
                <w:sz w:val="21"/>
                <w:szCs w:val="21"/>
                <w:shd w:val="clear" w:color="auto" w:fill="FFFFFF"/>
                <w:lang w:val="en-US" w:eastAsia="zh-CN"/>
              </w:rPr>
            </w:pPr>
            <w:r>
              <w:rPr>
                <w:rFonts w:hint="eastAsia" w:ascii="仿宋" w:hAnsi="仿宋" w:eastAsia="仿宋" w:cs="仿宋"/>
                <w:color w:val="191919"/>
                <w:sz w:val="21"/>
                <w:szCs w:val="21"/>
                <w:shd w:val="clear" w:color="auto" w:fill="FFFFFF"/>
                <w:lang w:val="en-US" w:eastAsia="zh-CN"/>
              </w:rPr>
              <w:t>（一）加强环境管理。</w:t>
            </w:r>
          </w:p>
          <w:p>
            <w:pPr>
              <w:keepNext w:val="0"/>
              <w:keepLines w:val="0"/>
              <w:pageBreakBefore w:val="0"/>
              <w:widowControl w:val="0"/>
              <w:kinsoku/>
              <w:wordWrap/>
              <w:overflowPunct/>
              <w:topLinePunct w:val="0"/>
              <w:autoSpaceDE/>
              <w:autoSpaceDN/>
              <w:bidi w:val="0"/>
              <w:adjustRightInd w:val="0"/>
              <w:snapToGrid w:val="0"/>
              <w:spacing w:line="280" w:lineRule="exact"/>
              <w:ind w:firstLine="420" w:firstLineChars="200"/>
              <w:textAlignment w:val="auto"/>
              <w:rPr>
                <w:rFonts w:hint="eastAsia" w:ascii="仿宋" w:hAnsi="仿宋" w:eastAsia="仿宋" w:cs="仿宋"/>
                <w:color w:val="191919"/>
                <w:sz w:val="21"/>
                <w:szCs w:val="21"/>
                <w:shd w:val="clear" w:color="auto" w:fill="FFFFFF"/>
                <w:lang w:val="en-US"/>
              </w:rPr>
            </w:pPr>
            <w:r>
              <w:rPr>
                <w:rFonts w:hint="eastAsia" w:ascii="仿宋" w:hAnsi="仿宋" w:eastAsia="仿宋" w:cs="仿宋"/>
                <w:color w:val="191919"/>
                <w:sz w:val="21"/>
                <w:szCs w:val="21"/>
                <w:shd w:val="clear" w:color="auto" w:fill="FFFFFF"/>
                <w:lang w:val="en-US" w:eastAsia="zh-CN"/>
              </w:rPr>
              <w:t>该项目在建设和生产过程中必须严格遵守环保法律法规，建立健全企业内部环境管理机制，制定完善的环保规章制度，制定切实可行的突发环境事件应急预案，按照预案内容严格落实相关要求并定期进行应急演练，加强日常运行及维护管理，确保各类污染物稳定达标排放、环境风险得到有效管控。规范设置排污口，严格落实环境监测计划。对原有环境问题整改到位。</w:t>
            </w:r>
          </w:p>
          <w:p>
            <w:pPr>
              <w:keepNext w:val="0"/>
              <w:keepLines w:val="0"/>
              <w:pageBreakBefore w:val="0"/>
              <w:widowControl w:val="0"/>
              <w:kinsoku/>
              <w:wordWrap/>
              <w:overflowPunct/>
              <w:topLinePunct w:val="0"/>
              <w:autoSpaceDE/>
              <w:autoSpaceDN/>
              <w:bidi w:val="0"/>
              <w:adjustRightInd w:val="0"/>
              <w:snapToGrid w:val="0"/>
              <w:spacing w:line="280" w:lineRule="exact"/>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color w:val="191919"/>
                <w:sz w:val="21"/>
                <w:szCs w:val="21"/>
                <w:shd w:val="clear" w:color="auto" w:fill="FFFFFF"/>
              </w:rPr>
              <w:t>（</w:t>
            </w:r>
            <w:r>
              <w:rPr>
                <w:rFonts w:hint="eastAsia" w:ascii="仿宋" w:hAnsi="仿宋" w:eastAsia="仿宋" w:cs="仿宋"/>
                <w:sz w:val="21"/>
                <w:szCs w:val="21"/>
                <w:lang w:val="en-US" w:eastAsia="zh-CN"/>
              </w:rPr>
              <w:t>二）落实各项污染防治措施。</w:t>
            </w:r>
          </w:p>
          <w:p>
            <w:pPr>
              <w:keepNext w:val="0"/>
              <w:keepLines w:val="0"/>
              <w:pageBreakBefore w:val="0"/>
              <w:widowControl w:val="0"/>
              <w:kinsoku/>
              <w:wordWrap/>
              <w:overflowPunct/>
              <w:topLinePunct w:val="0"/>
              <w:autoSpaceDE/>
              <w:autoSpaceDN/>
              <w:bidi w:val="0"/>
              <w:adjustRightInd w:val="0"/>
              <w:snapToGrid w:val="0"/>
              <w:spacing w:line="280" w:lineRule="exact"/>
              <w:ind w:firstLine="420" w:firstLineChars="200"/>
              <w:textAlignment w:val="auto"/>
              <w:rPr>
                <w:rFonts w:hint="eastAsia" w:ascii="仿宋" w:hAnsi="仿宋" w:eastAsia="仿宋" w:cs="仿宋"/>
                <w:color w:val="0000FF"/>
                <w:sz w:val="21"/>
                <w:szCs w:val="21"/>
                <w:lang w:val="en-US" w:eastAsia="zh-CN"/>
              </w:rPr>
            </w:pPr>
            <w:r>
              <w:rPr>
                <w:rFonts w:hint="eastAsia" w:ascii="仿宋" w:hAnsi="仿宋" w:eastAsia="仿宋" w:cs="仿宋"/>
                <w:sz w:val="21"/>
                <w:szCs w:val="21"/>
                <w:lang w:val="en-US" w:eastAsia="zh-CN"/>
              </w:rPr>
              <w:t>1.施工期生活废水设置防渗旱厕，定期清掏，用作农肥，不外排；施工废水集中收集后，泼洒至施工场地用于降尘。</w:t>
            </w:r>
            <w:r>
              <w:rPr>
                <w:rFonts w:hint="eastAsia" w:ascii="仿宋" w:hAnsi="仿宋" w:eastAsia="仿宋" w:cs="仿宋"/>
                <w:kern w:val="2"/>
                <w:sz w:val="21"/>
                <w:szCs w:val="21"/>
                <w:lang w:val="en-US" w:eastAsia="zh-CN" w:bidi="ar-SA"/>
              </w:rPr>
              <w:t>盥洗水用作厂区泼洒抑尘，洗车废水循环使用，定期补充新水。</w:t>
            </w:r>
          </w:p>
          <w:p>
            <w:pPr>
              <w:keepNext w:val="0"/>
              <w:keepLines w:val="0"/>
              <w:widowControl/>
              <w:suppressLineNumbers w:val="0"/>
              <w:ind w:firstLine="420" w:firstLineChars="200"/>
              <w:jc w:val="left"/>
              <w:rPr>
                <w:rFonts w:hint="eastAsia" w:ascii="仿宋" w:hAnsi="仿宋" w:eastAsia="仿宋" w:cs="仿宋"/>
                <w:color w:val="0000FF"/>
                <w:sz w:val="21"/>
                <w:szCs w:val="21"/>
                <w:lang w:val="en-US" w:eastAsia="zh-CN"/>
              </w:rPr>
            </w:pPr>
            <w:r>
              <w:rPr>
                <w:rFonts w:hint="eastAsia" w:ascii="仿宋" w:hAnsi="仿宋" w:eastAsia="仿宋" w:cs="仿宋"/>
                <w:color w:val="191919"/>
                <w:sz w:val="21"/>
                <w:szCs w:val="21"/>
                <w:shd w:val="clear" w:color="auto" w:fill="FFFFFF"/>
                <w:lang w:val="en-US" w:eastAsia="zh-CN"/>
              </w:rPr>
              <w:t>2.施工期扬尘排放执行《施工场地扬尘排放标准》（DB13/2934-2019）表1扬尘排放浓度限值。</w:t>
            </w:r>
            <w:r>
              <w:rPr>
                <w:rFonts w:hint="eastAsia" w:ascii="仿宋" w:hAnsi="仿宋" w:eastAsia="仿宋" w:cs="仿宋"/>
                <w:color w:val="191919"/>
                <w:sz w:val="21"/>
                <w:szCs w:val="21"/>
                <w:shd w:val="clear" w:color="auto" w:fill="FFFFFF"/>
                <w:lang w:val="en-US" w:eastAsia="zh-CN"/>
              </w:rPr>
              <w:t>运营期项目破碎、筛分、干选过程产生的废气经集气罩收集后送至布袋除尘器，经排气筒高空排放，排气筒设置高度须符合相关排放标准规定要求，运营期有组织粉尘排放浓度满足《铁矿采选工业污染物排放标准》（</w:t>
            </w:r>
            <w:r>
              <w:rPr>
                <w:rFonts w:hint="default" w:ascii="仿宋" w:hAnsi="仿宋" w:eastAsia="仿宋" w:cs="仿宋"/>
                <w:color w:val="191919"/>
                <w:sz w:val="21"/>
                <w:szCs w:val="21"/>
                <w:shd w:val="clear" w:color="auto" w:fill="FFFFFF"/>
                <w:lang w:val="en-US" w:eastAsia="zh-CN"/>
              </w:rPr>
              <w:t>GB28661-2012</w:t>
            </w:r>
            <w:r>
              <w:rPr>
                <w:rFonts w:hint="eastAsia" w:ascii="仿宋" w:hAnsi="仿宋" w:eastAsia="仿宋" w:cs="仿宋"/>
                <w:color w:val="191919"/>
                <w:sz w:val="21"/>
                <w:szCs w:val="21"/>
                <w:shd w:val="clear" w:color="auto" w:fill="FFFFFF"/>
                <w:lang w:val="en-US" w:eastAsia="zh-CN"/>
              </w:rPr>
              <w:t>）表</w:t>
            </w:r>
            <w:r>
              <w:rPr>
                <w:rFonts w:hint="default" w:ascii="仿宋" w:hAnsi="仿宋" w:eastAsia="仿宋" w:cs="仿宋"/>
                <w:color w:val="191919"/>
                <w:sz w:val="21"/>
                <w:szCs w:val="21"/>
                <w:shd w:val="clear" w:color="auto" w:fill="FFFFFF"/>
                <w:lang w:val="en-US" w:eastAsia="zh-CN"/>
              </w:rPr>
              <w:t>6</w:t>
            </w:r>
            <w:r>
              <w:rPr>
                <w:rFonts w:hint="eastAsia" w:ascii="仿宋" w:hAnsi="仿宋" w:eastAsia="仿宋" w:cs="仿宋"/>
                <w:color w:val="191919"/>
                <w:sz w:val="21"/>
                <w:szCs w:val="21"/>
                <w:shd w:val="clear" w:color="auto" w:fill="FFFFFF"/>
                <w:lang w:val="en-US" w:eastAsia="zh-CN"/>
              </w:rPr>
              <w:t>大气污染物特别排放限值。厂区地面全部硬化，定期对厂区道路覆盖的浮土清理，并定期洒水抑尘，厂区设置洗车平台，车辆进出厂区经洗车平台清洗，运输车辆加盖苫布，采区封闭车间</w:t>
            </w:r>
            <w:r>
              <w:rPr>
                <w:rFonts w:hint="default" w:ascii="仿宋" w:hAnsi="仿宋" w:eastAsia="仿宋" w:cs="仿宋"/>
                <w:color w:val="191919"/>
                <w:sz w:val="21"/>
                <w:szCs w:val="21"/>
                <w:shd w:val="clear" w:color="auto" w:fill="FFFFFF"/>
                <w:lang w:val="en-US" w:eastAsia="zh-CN"/>
              </w:rPr>
              <w:t>+</w:t>
            </w:r>
            <w:r>
              <w:rPr>
                <w:rFonts w:hint="eastAsia" w:ascii="仿宋" w:hAnsi="仿宋" w:eastAsia="仿宋" w:cs="仿宋"/>
                <w:color w:val="191919"/>
                <w:sz w:val="21"/>
                <w:szCs w:val="21"/>
                <w:shd w:val="clear" w:color="auto" w:fill="FFFFFF"/>
                <w:lang w:val="en-US" w:eastAsia="zh-CN"/>
              </w:rPr>
              <w:t>喷淋装置，</w:t>
            </w:r>
            <w:r>
              <w:rPr>
                <w:rFonts w:hint="eastAsia" w:ascii="仿宋" w:hAnsi="仿宋" w:eastAsia="仿宋" w:cs="仿宋"/>
                <w:kern w:val="2"/>
                <w:sz w:val="21"/>
                <w:szCs w:val="21"/>
                <w:lang w:val="en-US" w:eastAsia="zh-CN" w:bidi="ar-SA"/>
              </w:rPr>
              <w:t>厂界无组织颗粒物排放执行《铁矿采选工业污染物排放标准》（</w:t>
            </w:r>
            <w:r>
              <w:rPr>
                <w:rFonts w:hint="default" w:ascii="仿宋" w:hAnsi="仿宋" w:eastAsia="仿宋" w:cs="仿宋"/>
                <w:kern w:val="2"/>
                <w:sz w:val="21"/>
                <w:szCs w:val="21"/>
                <w:lang w:val="en-US" w:eastAsia="zh-CN" w:bidi="ar-SA"/>
              </w:rPr>
              <w:t>GB28661-2012</w:t>
            </w:r>
            <w:r>
              <w:rPr>
                <w:rFonts w:hint="eastAsia" w:ascii="仿宋" w:hAnsi="仿宋" w:eastAsia="仿宋" w:cs="仿宋"/>
                <w:kern w:val="2"/>
                <w:sz w:val="21"/>
                <w:szCs w:val="21"/>
                <w:lang w:val="en-US" w:eastAsia="zh-CN" w:bidi="ar-SA"/>
              </w:rPr>
              <w:t>）表</w:t>
            </w:r>
            <w:r>
              <w:rPr>
                <w:rFonts w:hint="default" w:ascii="仿宋" w:hAnsi="仿宋" w:eastAsia="仿宋" w:cs="仿宋"/>
                <w:kern w:val="2"/>
                <w:sz w:val="21"/>
                <w:szCs w:val="21"/>
                <w:lang w:val="en-US" w:eastAsia="zh-CN" w:bidi="ar-SA"/>
              </w:rPr>
              <w:t>7</w:t>
            </w:r>
            <w:r>
              <w:rPr>
                <w:rFonts w:hint="eastAsia" w:ascii="仿宋" w:hAnsi="仿宋" w:eastAsia="仿宋" w:cs="仿宋"/>
                <w:kern w:val="2"/>
                <w:sz w:val="21"/>
                <w:szCs w:val="21"/>
                <w:lang w:val="en-US" w:eastAsia="zh-CN" w:bidi="ar-SA"/>
              </w:rPr>
              <w:t>无组织排放监控浓度限值。</w:t>
            </w:r>
          </w:p>
          <w:p>
            <w:pPr>
              <w:keepNext w:val="0"/>
              <w:keepLines w:val="0"/>
              <w:widowControl/>
              <w:suppressLineNumbers w:val="0"/>
              <w:ind w:firstLine="420" w:firstLineChars="200"/>
              <w:jc w:val="left"/>
              <w:rPr>
                <w:rFonts w:hint="eastAsia" w:ascii="仿宋" w:hAnsi="仿宋" w:eastAsia="仿宋" w:cs="仿宋"/>
                <w:color w:val="191919"/>
                <w:sz w:val="21"/>
                <w:szCs w:val="21"/>
                <w:shd w:val="clear" w:color="auto" w:fill="FFFFFF"/>
                <w:lang w:val="en-US" w:eastAsia="zh-CN"/>
              </w:rPr>
            </w:pPr>
            <w:r>
              <w:rPr>
                <w:rFonts w:hint="eastAsia" w:ascii="仿宋" w:hAnsi="仿宋" w:eastAsia="仿宋" w:cs="仿宋"/>
                <w:color w:val="191919"/>
                <w:sz w:val="21"/>
                <w:szCs w:val="21"/>
                <w:shd w:val="clear" w:color="auto" w:fill="FFFFFF"/>
                <w:lang w:val="en-US" w:eastAsia="zh-CN"/>
              </w:rPr>
              <w:t>3.施工期噪声执行《建筑施工场界环境噪声排放标准》（GB12523-2011）中的相应标准要求。运营期生产设备置于封闭车间内，做好基础减振及隔声等措施降低噪声对周边环境的影响，采取在居民区附近通过时减速、禁鸣、夜间不运输等措施，厂界噪声排放执行《工业企业厂界环境噪声排放标准》（GB12348-2008）2类标准要求。</w:t>
            </w:r>
          </w:p>
          <w:p>
            <w:pPr>
              <w:keepNext w:val="0"/>
              <w:keepLines w:val="0"/>
              <w:widowControl/>
              <w:suppressLineNumbers w:val="0"/>
              <w:ind w:firstLine="420" w:firstLineChars="200"/>
              <w:jc w:val="left"/>
              <w:rPr>
                <w:rFonts w:hint="eastAsia" w:ascii="仿宋" w:hAnsi="仿宋" w:eastAsia="仿宋" w:cs="仿宋"/>
                <w:color w:val="191919"/>
                <w:sz w:val="21"/>
                <w:szCs w:val="21"/>
                <w:shd w:val="clear" w:color="auto" w:fill="FFFFFF"/>
                <w:lang w:val="en-US" w:eastAsia="zh-CN"/>
              </w:rPr>
            </w:pPr>
            <w:r>
              <w:rPr>
                <w:rFonts w:hint="eastAsia" w:ascii="仿宋" w:hAnsi="仿宋" w:eastAsia="仿宋" w:cs="仿宋"/>
                <w:color w:val="191919"/>
                <w:sz w:val="21"/>
                <w:szCs w:val="21"/>
                <w:shd w:val="clear" w:color="auto" w:fill="FFFFFF"/>
                <w:lang w:val="en-US" w:eastAsia="zh-CN"/>
              </w:rPr>
              <w:t>4.施工期生活垃圾集中收集后，由当地环卫部门定期清运；建筑垃圾及时清运，在场地内堆存的，应当集中堆放并采取密闭或者遮盖等防尘措施。项目产生的除尘灰、生活垃圾为一般工业固体废物。生活垃圾经收集后送环卫部门指定地点进行处理，除尘灰返回生产。一般固体废物执行《一般工业固体废物贮存和填埋污染控制标准》（</w:t>
            </w:r>
            <w:r>
              <w:rPr>
                <w:rFonts w:hint="default" w:ascii="仿宋" w:hAnsi="仿宋" w:eastAsia="仿宋" w:cs="仿宋"/>
                <w:color w:val="191919"/>
                <w:sz w:val="21"/>
                <w:szCs w:val="21"/>
                <w:shd w:val="clear" w:color="auto" w:fill="FFFFFF"/>
                <w:lang w:val="en-US" w:eastAsia="zh-CN"/>
              </w:rPr>
              <w:t>GB18599-2020</w:t>
            </w:r>
            <w:r>
              <w:rPr>
                <w:rFonts w:hint="eastAsia" w:ascii="仿宋" w:hAnsi="仿宋" w:eastAsia="仿宋" w:cs="仿宋"/>
                <w:color w:val="191919"/>
                <w:sz w:val="21"/>
                <w:szCs w:val="21"/>
                <w:shd w:val="clear" w:color="auto" w:fill="FFFFFF"/>
                <w:lang w:val="en-US" w:eastAsia="zh-CN"/>
              </w:rPr>
              <w:t>）的相关规定。生活垃圾执行《中华人民共和国固体废物污染环境防治法》相关规定。废润滑油、废油桶、废弃的含油抹布、手套，暂存于危废间，委托有资质单位处置。危险废物的贮存执行《危险废物贮存污染控制标准》（</w:t>
            </w:r>
            <w:r>
              <w:rPr>
                <w:rFonts w:hint="default" w:ascii="仿宋" w:hAnsi="仿宋" w:eastAsia="仿宋" w:cs="仿宋"/>
                <w:color w:val="191919"/>
                <w:sz w:val="21"/>
                <w:szCs w:val="21"/>
                <w:shd w:val="clear" w:color="auto" w:fill="FFFFFF"/>
                <w:lang w:val="en-US" w:eastAsia="zh-CN"/>
              </w:rPr>
              <w:t>GB18597-2023</w:t>
            </w:r>
            <w:r>
              <w:rPr>
                <w:rFonts w:hint="eastAsia" w:ascii="仿宋" w:hAnsi="仿宋" w:eastAsia="仿宋" w:cs="仿宋"/>
                <w:color w:val="191919"/>
                <w:sz w:val="21"/>
                <w:szCs w:val="21"/>
                <w:shd w:val="clear" w:color="auto" w:fill="FFFFFF"/>
                <w:lang w:val="en-US" w:eastAsia="zh-CN"/>
              </w:rPr>
              <w:t>）的相关规定。</w:t>
            </w:r>
          </w:p>
          <w:p>
            <w:pPr>
              <w:keepNext w:val="0"/>
              <w:keepLines w:val="0"/>
              <w:widowControl/>
              <w:suppressLineNumbers w:val="0"/>
              <w:ind w:firstLine="420" w:firstLineChars="200"/>
              <w:jc w:val="left"/>
              <w:rPr>
                <w:rFonts w:hint="eastAsia" w:ascii="仿宋" w:hAnsi="仿宋" w:eastAsia="仿宋" w:cs="仿宋"/>
                <w:color w:val="191919"/>
                <w:sz w:val="21"/>
                <w:szCs w:val="21"/>
                <w:shd w:val="clear" w:color="auto" w:fill="FFFFFF"/>
                <w:lang w:val="en-US" w:eastAsia="zh-CN"/>
              </w:rPr>
            </w:pPr>
            <w:r>
              <w:rPr>
                <w:rFonts w:hint="eastAsia" w:ascii="仿宋" w:hAnsi="仿宋" w:eastAsia="仿宋" w:cs="仿宋"/>
                <w:color w:val="191919"/>
                <w:sz w:val="21"/>
                <w:szCs w:val="21"/>
                <w:shd w:val="clear" w:color="auto" w:fill="FFFFFF"/>
                <w:lang w:val="en-US" w:eastAsia="zh-CN"/>
              </w:rPr>
              <w:t>5.采取分区防控措施，做好危废暂存间、破碎车间等处防渗处理。对工业场地等生态破坏区域，要采取有效的生态保护和恢复措施。为避免环境事故发生，建设单位按照安全、消防等部门要求落实各项防范措施，并在日常运行管理过程当中增强环境风险意识，制定切实可行的环境风险事故应急预案，当出现事故时，可及时采取应急措施，以控制事故和减少对环境造成的危害。</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 xml:space="preserve">6.项目涉及物料的铀（钍）系单个核素活度浓度小于 </w:t>
            </w:r>
            <w:r>
              <w:rPr>
                <w:rFonts w:hint="default" w:ascii="仿宋" w:hAnsi="仿宋" w:eastAsia="仿宋" w:cs="仿宋"/>
                <w:kern w:val="2"/>
                <w:sz w:val="21"/>
                <w:szCs w:val="21"/>
                <w:lang w:val="en-US" w:eastAsia="zh-CN" w:bidi="ar-SA"/>
              </w:rPr>
              <w:t>1Bq/g</w:t>
            </w:r>
            <w:r>
              <w:rPr>
                <w:rFonts w:hint="eastAsia" w:ascii="仿宋" w:hAnsi="仿宋" w:eastAsia="仿宋" w:cs="仿宋"/>
                <w:kern w:val="2"/>
                <w:sz w:val="21"/>
                <w:szCs w:val="21"/>
                <w:lang w:val="en-US" w:eastAsia="zh-CN" w:bidi="ar-SA"/>
              </w:rPr>
              <w:t>，无需开展辐射环境影响评价专篇。</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b w:val="0"/>
                <w:bCs w:val="0"/>
                <w:sz w:val="21"/>
                <w:szCs w:val="21"/>
              </w:rPr>
            </w:pPr>
            <w:bookmarkStart w:id="0" w:name="_GoBack"/>
            <w:bookmarkEnd w:id="0"/>
            <w:r>
              <w:rPr>
                <w:rFonts w:hint="eastAsia" w:ascii="仿宋" w:hAnsi="仿宋" w:eastAsia="仿宋" w:cs="仿宋"/>
                <w:sz w:val="21"/>
                <w:szCs w:val="21"/>
                <w:lang w:val="en-US" w:eastAsia="zh-CN"/>
              </w:rPr>
              <w:t>二、项目建设必须严格执行环境保护设施与主体工程同时设计、同时施工、同时投入使用的环保“三同时”制度。项目建成后，在调试生产前要对照相关要求落实好排污许可事项，并按规定程序实施竣工环境保护验收。</w:t>
            </w:r>
            <w:r>
              <w:rPr>
                <w:rFonts w:hint="eastAsia" w:ascii="仿宋" w:hAnsi="仿宋" w:eastAsia="仿宋" w:cs="仿宋"/>
                <w:sz w:val="21"/>
                <w:szCs w:val="21"/>
              </w:rPr>
              <w:t>项目投运后，控制全厂</w:t>
            </w:r>
            <w:r>
              <w:rPr>
                <w:rFonts w:hint="eastAsia" w:ascii="仿宋" w:hAnsi="仿宋" w:eastAsia="仿宋" w:cs="仿宋"/>
                <w:b w:val="0"/>
                <w:bCs w:val="0"/>
                <w:sz w:val="21"/>
                <w:szCs w:val="21"/>
              </w:rPr>
              <w:t>COD、NH</w:t>
            </w:r>
            <w:r>
              <w:rPr>
                <w:rFonts w:hint="eastAsia" w:ascii="仿宋" w:hAnsi="仿宋" w:eastAsia="仿宋" w:cs="仿宋"/>
                <w:b w:val="0"/>
                <w:bCs w:val="0"/>
                <w:sz w:val="21"/>
                <w:szCs w:val="21"/>
                <w:vertAlign w:val="subscript"/>
              </w:rPr>
              <w:t>3</w:t>
            </w:r>
            <w:r>
              <w:rPr>
                <w:rFonts w:hint="eastAsia" w:ascii="仿宋" w:hAnsi="仿宋" w:eastAsia="仿宋" w:cs="仿宋"/>
                <w:b w:val="0"/>
                <w:bCs w:val="0"/>
                <w:sz w:val="21"/>
                <w:szCs w:val="21"/>
              </w:rPr>
              <w:t>-N、SO</w:t>
            </w:r>
            <w:r>
              <w:rPr>
                <w:rFonts w:hint="eastAsia" w:ascii="仿宋" w:hAnsi="仿宋" w:eastAsia="仿宋" w:cs="仿宋"/>
                <w:b w:val="0"/>
                <w:bCs w:val="0"/>
                <w:sz w:val="21"/>
                <w:szCs w:val="21"/>
                <w:vertAlign w:val="subscript"/>
              </w:rPr>
              <w:t>2</w:t>
            </w:r>
            <w:r>
              <w:rPr>
                <w:rFonts w:hint="eastAsia" w:ascii="仿宋" w:hAnsi="仿宋" w:eastAsia="仿宋" w:cs="仿宋"/>
                <w:b w:val="0"/>
                <w:bCs w:val="0"/>
                <w:sz w:val="21"/>
                <w:szCs w:val="21"/>
              </w:rPr>
              <w:t>、NO</w:t>
            </w:r>
            <w:r>
              <w:rPr>
                <w:rFonts w:hint="eastAsia" w:ascii="仿宋" w:hAnsi="仿宋" w:eastAsia="仿宋" w:cs="仿宋"/>
                <w:b w:val="0"/>
                <w:bCs w:val="0"/>
                <w:sz w:val="21"/>
                <w:szCs w:val="21"/>
                <w:vertAlign w:val="subscript"/>
              </w:rPr>
              <w:t>x</w:t>
            </w:r>
            <w:r>
              <w:rPr>
                <w:rFonts w:hint="eastAsia" w:ascii="仿宋" w:hAnsi="仿宋" w:eastAsia="仿宋" w:cs="仿宋"/>
                <w:b w:val="0"/>
                <w:bCs w:val="0"/>
                <w:sz w:val="21"/>
                <w:szCs w:val="21"/>
              </w:rPr>
              <w:t>年排放量全部为0吨。</w:t>
            </w:r>
          </w:p>
          <w:p>
            <w:pPr>
              <w:ind w:firstLine="420" w:firstLineChars="200"/>
              <w:rPr>
                <w:rFonts w:hint="eastAsia" w:ascii="Times New Roman" w:hAnsi="Times New Roman" w:eastAsia="宋体" w:cs="Times New Roman"/>
                <w:kern w:val="2"/>
                <w:sz w:val="21"/>
                <w:szCs w:val="24"/>
                <w:lang w:val="en-US" w:eastAsia="zh-CN" w:bidi="ar-SA"/>
              </w:rPr>
            </w:pPr>
            <w:r>
              <w:rPr>
                <w:rFonts w:hint="eastAsia" w:ascii="仿宋" w:hAnsi="仿宋" w:eastAsia="仿宋" w:cs="仿宋"/>
                <w:b w:val="0"/>
                <w:bCs w:val="0"/>
                <w:kern w:val="2"/>
                <w:sz w:val="21"/>
                <w:szCs w:val="21"/>
                <w:lang w:val="en-US" w:eastAsia="zh-CN" w:bidi="ar-SA"/>
              </w:rPr>
              <w:t>三、建设项目的环境影响评价文件经批准后，建设项目的性质、规模、地点、采用的生产工艺或者防治污染、防止生态破坏的措施发生重大变动的，建设单位应当重新报批建设项目的环境影响评价文件，或该项目环境影响评价文件自批准之日起超过五年，方决定开工建设的，环境影响评价文件应当报原审批部门重新审核。</w:t>
            </w:r>
          </w:p>
          <w:p>
            <w:pPr>
              <w:ind w:firstLine="420" w:firstLineChars="20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经办人：                                                        2024年6月18日</w:t>
            </w:r>
          </w:p>
          <w:p>
            <w:pPr>
              <w:pStyle w:val="2"/>
            </w:pPr>
          </w:p>
        </w:tc>
      </w:tr>
    </w:tbl>
    <w:p>
      <w:pPr>
        <w:rPr>
          <w:rFonts w:hint="eastAsia" w:eastAsia="宋体"/>
          <w:lang w:eastAsia="zh-CN"/>
        </w:rPr>
      </w:pPr>
    </w:p>
    <w:sectPr>
      <w:pgSz w:w="11906" w:h="16838"/>
      <w:pgMar w:top="1213"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FjZjI0NjMwNDI3MTk1NGU4ZTExZDhkYjgxNDBiYWUifQ=="/>
  </w:docVars>
  <w:rsids>
    <w:rsidRoot w:val="007510CB"/>
    <w:rsid w:val="00071C2B"/>
    <w:rsid w:val="000946F7"/>
    <w:rsid w:val="000D5464"/>
    <w:rsid w:val="00133A70"/>
    <w:rsid w:val="00141173"/>
    <w:rsid w:val="00172300"/>
    <w:rsid w:val="001A556F"/>
    <w:rsid w:val="001C2DB0"/>
    <w:rsid w:val="001F4506"/>
    <w:rsid w:val="0027372C"/>
    <w:rsid w:val="003648D7"/>
    <w:rsid w:val="004971E4"/>
    <w:rsid w:val="004B4980"/>
    <w:rsid w:val="004C549C"/>
    <w:rsid w:val="004F1B5F"/>
    <w:rsid w:val="00511AA2"/>
    <w:rsid w:val="00513FDD"/>
    <w:rsid w:val="00631EB1"/>
    <w:rsid w:val="00677623"/>
    <w:rsid w:val="00691F43"/>
    <w:rsid w:val="006F2FDB"/>
    <w:rsid w:val="007510CB"/>
    <w:rsid w:val="009C2AE0"/>
    <w:rsid w:val="00AD36A0"/>
    <w:rsid w:val="00B74CB2"/>
    <w:rsid w:val="00BC542C"/>
    <w:rsid w:val="00D362CD"/>
    <w:rsid w:val="00DA44ED"/>
    <w:rsid w:val="00EB5EBF"/>
    <w:rsid w:val="00F27DBA"/>
    <w:rsid w:val="00F45B84"/>
    <w:rsid w:val="00F56363"/>
    <w:rsid w:val="0316463D"/>
    <w:rsid w:val="03C35590"/>
    <w:rsid w:val="04E86BAA"/>
    <w:rsid w:val="05D71850"/>
    <w:rsid w:val="062E13DD"/>
    <w:rsid w:val="0639036B"/>
    <w:rsid w:val="07F5531E"/>
    <w:rsid w:val="07F6059C"/>
    <w:rsid w:val="08C001F8"/>
    <w:rsid w:val="093508AC"/>
    <w:rsid w:val="0B8A14FA"/>
    <w:rsid w:val="0BB357F1"/>
    <w:rsid w:val="0C7056C4"/>
    <w:rsid w:val="0DCB4E1F"/>
    <w:rsid w:val="0E786652"/>
    <w:rsid w:val="0EA520AE"/>
    <w:rsid w:val="0F2637C4"/>
    <w:rsid w:val="0FF22FD6"/>
    <w:rsid w:val="10BB099D"/>
    <w:rsid w:val="10E220C6"/>
    <w:rsid w:val="116D01DE"/>
    <w:rsid w:val="11D905EA"/>
    <w:rsid w:val="120759EA"/>
    <w:rsid w:val="125123AD"/>
    <w:rsid w:val="12EA0B44"/>
    <w:rsid w:val="14F70021"/>
    <w:rsid w:val="15212FE0"/>
    <w:rsid w:val="17805F80"/>
    <w:rsid w:val="183C2C81"/>
    <w:rsid w:val="185C6797"/>
    <w:rsid w:val="188477FD"/>
    <w:rsid w:val="18DB3A02"/>
    <w:rsid w:val="1A491BBF"/>
    <w:rsid w:val="1A820940"/>
    <w:rsid w:val="1B0272A5"/>
    <w:rsid w:val="1BEE01D9"/>
    <w:rsid w:val="1D773D97"/>
    <w:rsid w:val="1DD9198E"/>
    <w:rsid w:val="1DF00D78"/>
    <w:rsid w:val="1ED4072F"/>
    <w:rsid w:val="1F16680D"/>
    <w:rsid w:val="1F983897"/>
    <w:rsid w:val="210B723E"/>
    <w:rsid w:val="21393F20"/>
    <w:rsid w:val="2277712A"/>
    <w:rsid w:val="22A15DB2"/>
    <w:rsid w:val="235545C6"/>
    <w:rsid w:val="23CE2AF6"/>
    <w:rsid w:val="247B1229"/>
    <w:rsid w:val="24F030CE"/>
    <w:rsid w:val="253D5533"/>
    <w:rsid w:val="258874A7"/>
    <w:rsid w:val="259B3EDE"/>
    <w:rsid w:val="25F0248B"/>
    <w:rsid w:val="26687D32"/>
    <w:rsid w:val="27463420"/>
    <w:rsid w:val="287C55B3"/>
    <w:rsid w:val="2A1B37AD"/>
    <w:rsid w:val="2A5D28F9"/>
    <w:rsid w:val="2DC51C24"/>
    <w:rsid w:val="2DE54AAF"/>
    <w:rsid w:val="2E4A767C"/>
    <w:rsid w:val="2FA62982"/>
    <w:rsid w:val="2FA90493"/>
    <w:rsid w:val="2FD55413"/>
    <w:rsid w:val="32C215A3"/>
    <w:rsid w:val="32E14E18"/>
    <w:rsid w:val="341C43C2"/>
    <w:rsid w:val="36430044"/>
    <w:rsid w:val="36527A66"/>
    <w:rsid w:val="367968D7"/>
    <w:rsid w:val="36EF006E"/>
    <w:rsid w:val="37213D29"/>
    <w:rsid w:val="380A60B3"/>
    <w:rsid w:val="391F541C"/>
    <w:rsid w:val="3A77227A"/>
    <w:rsid w:val="3AA86B61"/>
    <w:rsid w:val="3ABC555D"/>
    <w:rsid w:val="3CE34EAB"/>
    <w:rsid w:val="3D5D76F7"/>
    <w:rsid w:val="3DFC1E32"/>
    <w:rsid w:val="3DFC3CBF"/>
    <w:rsid w:val="3E057984"/>
    <w:rsid w:val="3E0F14D8"/>
    <w:rsid w:val="3E104E77"/>
    <w:rsid w:val="3E900D92"/>
    <w:rsid w:val="3E927EF8"/>
    <w:rsid w:val="415C54DB"/>
    <w:rsid w:val="432917FA"/>
    <w:rsid w:val="439A3BBE"/>
    <w:rsid w:val="43DE7A56"/>
    <w:rsid w:val="445A4283"/>
    <w:rsid w:val="44B22B0D"/>
    <w:rsid w:val="46FD256C"/>
    <w:rsid w:val="470664E9"/>
    <w:rsid w:val="477311C9"/>
    <w:rsid w:val="48D54C71"/>
    <w:rsid w:val="4948389E"/>
    <w:rsid w:val="4A1726EE"/>
    <w:rsid w:val="4A303725"/>
    <w:rsid w:val="4A741418"/>
    <w:rsid w:val="4C4D73A7"/>
    <w:rsid w:val="4C5C7478"/>
    <w:rsid w:val="4D1D4C18"/>
    <w:rsid w:val="4E6D7FFF"/>
    <w:rsid w:val="4ED65758"/>
    <w:rsid w:val="5020160B"/>
    <w:rsid w:val="50C65266"/>
    <w:rsid w:val="51462EE1"/>
    <w:rsid w:val="53642102"/>
    <w:rsid w:val="537A1E73"/>
    <w:rsid w:val="54041659"/>
    <w:rsid w:val="54F61A33"/>
    <w:rsid w:val="55637F7F"/>
    <w:rsid w:val="556666D5"/>
    <w:rsid w:val="56100BFC"/>
    <w:rsid w:val="564D059A"/>
    <w:rsid w:val="593149B9"/>
    <w:rsid w:val="59512C6F"/>
    <w:rsid w:val="5A787724"/>
    <w:rsid w:val="5B1F1B1C"/>
    <w:rsid w:val="5E9B1D0C"/>
    <w:rsid w:val="5F523A71"/>
    <w:rsid w:val="60A46881"/>
    <w:rsid w:val="60B96269"/>
    <w:rsid w:val="62C02D4E"/>
    <w:rsid w:val="6317780B"/>
    <w:rsid w:val="63497F31"/>
    <w:rsid w:val="64245A29"/>
    <w:rsid w:val="64DA405D"/>
    <w:rsid w:val="658E6283"/>
    <w:rsid w:val="65C3030C"/>
    <w:rsid w:val="66E40073"/>
    <w:rsid w:val="670923BA"/>
    <w:rsid w:val="682C72B2"/>
    <w:rsid w:val="68541F7E"/>
    <w:rsid w:val="69F14EF3"/>
    <w:rsid w:val="6A7D13F3"/>
    <w:rsid w:val="6C4106CC"/>
    <w:rsid w:val="6C773F36"/>
    <w:rsid w:val="6CFE0DDA"/>
    <w:rsid w:val="6D52540F"/>
    <w:rsid w:val="6D6949EA"/>
    <w:rsid w:val="6D8967FD"/>
    <w:rsid w:val="6DF254D4"/>
    <w:rsid w:val="6E590CDB"/>
    <w:rsid w:val="70767FAF"/>
    <w:rsid w:val="70CB2118"/>
    <w:rsid w:val="71B44793"/>
    <w:rsid w:val="71D31BA0"/>
    <w:rsid w:val="72405D25"/>
    <w:rsid w:val="734D1831"/>
    <w:rsid w:val="75276451"/>
    <w:rsid w:val="754B3E4C"/>
    <w:rsid w:val="75627F33"/>
    <w:rsid w:val="764B55B9"/>
    <w:rsid w:val="76C93DE9"/>
    <w:rsid w:val="76D8421F"/>
    <w:rsid w:val="77F233BD"/>
    <w:rsid w:val="785C4770"/>
    <w:rsid w:val="7A3D2CC4"/>
    <w:rsid w:val="7A735214"/>
    <w:rsid w:val="7B423469"/>
    <w:rsid w:val="7BEC14D9"/>
    <w:rsid w:val="7C0F1005"/>
    <w:rsid w:val="7C4740BA"/>
    <w:rsid w:val="7DD03374"/>
    <w:rsid w:val="7F355C97"/>
    <w:rsid w:val="7F92389C"/>
    <w:rsid w:val="7FBE0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样式 样式 样式 四号 左侧:  1.53 厘米 + 首行缩进:  2 字符 + 居中 左侧:  2 字符 首行缩进:  2..."/>
    <w:basedOn w:val="3"/>
    <w:qFormat/>
    <w:uiPriority w:val="0"/>
    <w:pPr>
      <w:adjustRightInd w:val="0"/>
      <w:ind w:left="200" w:leftChars="200"/>
      <w:jc w:val="center"/>
    </w:pPr>
    <w:rPr>
      <w:w w:val="90"/>
      <w:sz w:val="28"/>
      <w:szCs w:val="20"/>
    </w:rPr>
  </w:style>
  <w:style w:type="paragraph" w:customStyle="1" w:styleId="3">
    <w:name w:val="样式 样式 四号 左侧:  1.53 厘米 + 首行缩进:  2 字符"/>
    <w:basedOn w:val="4"/>
    <w:qFormat/>
    <w:uiPriority w:val="0"/>
    <w:pPr>
      <w:ind w:left="200" w:leftChars="200"/>
    </w:pPr>
    <w:rPr>
      <w:szCs w:val="20"/>
    </w:rPr>
  </w:style>
  <w:style w:type="paragraph" w:customStyle="1" w:styleId="4">
    <w:name w:val="样式 四号 左侧:  1.53 厘米"/>
    <w:basedOn w:val="1"/>
    <w:qFormat/>
    <w:uiPriority w:val="0"/>
    <w:pPr>
      <w:adjustRightInd w:val="0"/>
    </w:pPr>
    <w:rPr>
      <w:w w:val="90"/>
      <w:sz w:val="28"/>
      <w:szCs w:val="28"/>
    </w:rPr>
  </w:style>
  <w:style w:type="paragraph" w:styleId="5">
    <w:name w:val="Normal Indent"/>
    <w:basedOn w:val="1"/>
    <w:next w:val="1"/>
    <w:qFormat/>
    <w:uiPriority w:val="0"/>
    <w:pPr>
      <w:ind w:firstLine="420"/>
    </w:pPr>
  </w:style>
  <w:style w:type="paragraph" w:styleId="6">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toc 2"/>
    <w:basedOn w:val="1"/>
    <w:next w:val="1"/>
    <w:qFormat/>
    <w:uiPriority w:val="0"/>
    <w:pPr>
      <w:ind w:left="240"/>
    </w:pPr>
    <w:rPr>
      <w:rFonts w:ascii="Calibri" w:hAnsi="Calibri"/>
      <w:smallCaps/>
      <w:sz w:val="20"/>
    </w:rPr>
  </w:style>
  <w:style w:type="character" w:styleId="11">
    <w:name w:val="Strong"/>
    <w:basedOn w:val="10"/>
    <w:qFormat/>
    <w:uiPriority w:val="0"/>
    <w:rPr>
      <w:b/>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semiHidden/>
    <w:qFormat/>
    <w:uiPriority w:val="99"/>
    <w:rPr>
      <w:sz w:val="18"/>
      <w:szCs w:val="18"/>
    </w:r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635CF-70B8-409B-A310-DE74B3DAFF8B}">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2</Pages>
  <Words>1808</Words>
  <Characters>2007</Characters>
  <Lines>9</Lines>
  <Paragraphs>2</Paragraphs>
  <TotalTime>0</TotalTime>
  <ScaleCrop>false</ScaleCrop>
  <LinksUpToDate>false</LinksUpToDate>
  <CharactersWithSpaces>2052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2018-03-26T01:28:00Z</dcterms:created>
  <dc:creator>桑三博客</dc:creator>
  <cp:lastModifiedBy>初栀</cp:lastModifiedBy>
  <cp:lastPrinted>2022-05-25T02:04:00Z</cp:lastPrinted>
  <dcterms:modified xsi:type="dcterms:W3CDTF">2024-06-05T09:09:28Z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C7D5036CD2794381A3611AD522CDD8CA</vt:lpwstr>
  </property>
</Properties>
</file>