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adjustRightInd/>
        <w:snapToGrid/>
        <w:spacing w:line="680" w:lineRule="exact"/>
        <w:ind w:left="0" w:firstLine="0"/>
        <w:rPr>
          <w:rFonts w:ascii="CESI小标宋-GB2312" w:eastAsia="CESI小标宋-GB2312" w:cs="CESI小标宋-GB2312"/>
          <w:b w:val="0"/>
          <w:bCs/>
          <w:i w:val="0"/>
          <w:caps w:val="0"/>
          <w:smallCaps w:val="0"/>
          <w:snapToGrid w:val="0"/>
          <w:color w:val="auto"/>
          <w:spacing w:val="0"/>
          <w:kern w:val="0"/>
          <w:sz w:val="44"/>
          <w:szCs w:val="44"/>
          <w:shd w:val="clear" w:color="auto" w:fill="FFFFFF"/>
          <w:lang w:val="en-US" w:eastAsia="zh-CN"/>
        </w:rPr>
      </w:pP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adjustRightInd/>
        <w:snapToGrid/>
        <w:spacing w:line="680" w:lineRule="exact"/>
        <w:ind w:left="0" w:firstLine="0"/>
        <w:rPr>
          <w:rFonts w:ascii="CESI小标宋-GB2312" w:eastAsia="CESI小标宋-GB2312" w:cs="CESI小标宋-GB2312"/>
          <w:b w:val="0"/>
          <w:bCs/>
          <w:i w:val="0"/>
          <w:caps w:val="0"/>
          <w:smallCaps w:val="0"/>
          <w:snapToGrid w:val="0"/>
          <w:color w:val="auto"/>
          <w:spacing w:val="0"/>
          <w:kern w:val="0"/>
          <w:sz w:val="44"/>
          <w:szCs w:val="44"/>
          <w:shd w:val="clear" w:color="auto" w:fill="FFFFFF"/>
          <w:lang w:val="en-US" w:eastAsia="zh-CN"/>
        </w:rPr>
      </w:pP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adjustRightInd/>
        <w:snapToGrid/>
        <w:spacing w:line="680" w:lineRule="exact"/>
        <w:ind w:left="0" w:firstLine="0"/>
        <w:rPr>
          <w:rFonts w:ascii="CESI小标宋-GB2312" w:eastAsia="CESI小标宋-GB2312" w:cs="CESI小标宋-GB2312" w:hint="eastAsia"/>
          <w:b w:val="0"/>
          <w:bCs/>
          <w:i w:val="0"/>
          <w:caps w:val="0"/>
          <w:smallCaps w:val="0"/>
          <w:snapToGrid w:val="0"/>
          <w:color w:val="auto"/>
          <w:spacing w:val="0"/>
          <w:kern w:val="0"/>
          <w:sz w:val="44"/>
          <w:szCs w:val="44"/>
          <w:shd w:val="clear" w:color="auto" w:fill="FFFFFF"/>
          <w:lang w:val="en-US" w:eastAsia="zh-CN"/>
        </w:rPr>
      </w:pP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adjustRightInd/>
        <w:snapToGrid/>
        <w:spacing w:before="0" w:beforeAutospacing="0" w:after="0" w:afterAutospacing="0" w:line="560" w:lineRule="exact"/>
        <w:ind w:left="0" w:firstLine="0"/>
        <w:jc w:val="center"/>
        <w:rPr>
          <w:rFonts w:ascii="方正小标宋简体" w:eastAsia="方正小标宋简体" w:cs="方正小标宋简体"/>
          <w:b/>
          <w:bCs/>
          <w:i w:val="0"/>
          <w:iCs w:val="0"/>
          <w:caps w:val="0"/>
          <w:smallCaps w:val="0"/>
          <w:color w:val="333333"/>
          <w:spacing w:val="0"/>
          <w:sz w:val="44"/>
          <w:szCs w:val="44"/>
          <w:shd w:val="clear" w:color="auto" w:fill="FFFFFF"/>
        </w:rPr>
      </w:pPr>
      <w:r>
        <w:rPr>
          <w:rFonts w:ascii="方正小标宋简体" w:eastAsia="方正小标宋简体" w:cs="方正小标宋简体"/>
          <w:b/>
          <w:bCs/>
          <w:i w:val="0"/>
          <w:iCs w:val="0"/>
          <w:caps w:val="0"/>
          <w:smallCaps w:val="0"/>
          <w:color w:val="333333"/>
          <w:spacing w:val="0"/>
          <w:sz w:val="44"/>
          <w:szCs w:val="44"/>
          <w:shd w:val="clear" w:color="auto" w:fill="FFFFFF"/>
          <w:lang w:val="en-US" w:eastAsia="zh-CN"/>
        </w:rPr>
        <w:t>隆化县人民政府</w:t>
      </w:r>
      <w:r>
        <w:rPr>
          <w:rFonts w:ascii="方正小标宋简体" w:eastAsia="方正小标宋简体" w:cs="方正小标宋简体" w:hint="eastAsia"/>
          <w:b/>
          <w:bCs/>
          <w:i w:val="0"/>
          <w:iCs w:val="0"/>
          <w:caps w:val="0"/>
          <w:smallCaps w:val="0"/>
          <w:color w:val="333333"/>
          <w:spacing w:val="0"/>
          <w:sz w:val="44"/>
          <w:szCs w:val="44"/>
          <w:shd w:val="clear" w:color="auto" w:fill="FFFFFF"/>
          <w:lang w:val="en-US" w:eastAsia="zh-CN"/>
        </w:rPr>
        <w:t>202</w:t>
      </w:r>
      <w:r>
        <w:rPr>
          <w:rFonts w:ascii="方正小标宋简体" w:eastAsia="方正小标宋简体" w:cs="方正小标宋简体"/>
          <w:b/>
          <w:bCs/>
          <w:i w:val="0"/>
          <w:iCs w:val="0"/>
          <w:caps w:val="0"/>
          <w:smallCaps w:val="0"/>
          <w:color w:val="333333"/>
          <w:spacing w:val="0"/>
          <w:sz w:val="44"/>
          <w:szCs w:val="44"/>
          <w:shd w:val="clear" w:color="auto" w:fill="FFFFFF"/>
          <w:lang w:val="en-US" w:eastAsia="zh-CN"/>
        </w:rPr>
        <w:t>2</w:t>
      </w:r>
      <w:r>
        <w:rPr>
          <w:rFonts w:ascii="方正小标宋简体" w:eastAsia="方正小标宋简体" w:cs="方正小标宋简体" w:hint="eastAsia"/>
          <w:b/>
          <w:bCs/>
          <w:i w:val="0"/>
          <w:iCs w:val="0"/>
          <w:caps w:val="0"/>
          <w:smallCaps w:val="0"/>
          <w:color w:val="333333"/>
          <w:spacing w:val="0"/>
          <w:sz w:val="44"/>
          <w:szCs w:val="44"/>
          <w:shd w:val="clear" w:color="auto" w:fill="FFFFFF"/>
          <w:lang w:val="en-US" w:eastAsia="zh-CN"/>
        </w:rPr>
        <w:t>年度</w:t>
      </w:r>
      <w:r>
        <w:rPr>
          <w:rFonts w:ascii="方正小标宋简体" w:eastAsia="方正小标宋简体" w:cs="方正小标宋简体" w:hint="eastAsia"/>
          <w:b/>
          <w:bCs/>
          <w:i w:val="0"/>
          <w:iCs w:val="0"/>
          <w:caps w:val="0"/>
          <w:smallCaps w:val="0"/>
          <w:color w:val="333333"/>
          <w:spacing w:val="0"/>
          <w:sz w:val="44"/>
          <w:szCs w:val="44"/>
          <w:shd w:val="clear" w:color="auto" w:fill="FFFFFF"/>
        </w:rPr>
        <w:t>政府信息公开工作年度报告</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方正小标宋简体" w:eastAsia="方正小标宋简体" w:cs="方正小标宋简体" w:hint="eastAsia"/>
          <w:i w:val="0"/>
          <w:iCs w:val="0"/>
          <w:caps w:val="0"/>
          <w:smallCaps w:val="0"/>
          <w:color w:val="333333"/>
          <w:spacing w:val="0"/>
          <w:sz w:val="44"/>
          <w:szCs w:val="44"/>
        </w:rPr>
      </w:pP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adjustRightInd/>
        <w:snapToGrid/>
        <w:spacing w:before="0" w:beforeAutospacing="0" w:after="0" w:afterAutospacing="0" w:line="560" w:lineRule="exact"/>
        <w:ind w:left="0" w:firstLine="420"/>
        <w:jc w:val="both"/>
        <w:sectPr>
          <w:pgSz w:w="11907" w:h="16840"/>
          <w:pgMar w:top="2041" w:right="1588" w:bottom="2041" w:left="1531" w:header="851" w:footer="1588" w:gutter="454"/>
          <w:pgNumType/>
          <w:rtlGutter/>
          <w:docGrid w:type="linesAndChars" w:linePitch="579" w:charSpace="-4578"/>
        </w:sectPr>
      </w:pP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autoSpaceDE w:val="0"/>
        <w:autoSpaceDN w:val="0"/>
        <w:adjustRightInd/>
        <w:snapToGrid/>
        <w:spacing w:beforeAutospacing="0" w:afterAutospacing="0" w:line="560" w:lineRule="exact"/>
        <w:ind w:left="0" w:firstLine="420"/>
        <w:jc w:val="both"/>
        <w:rPr>
          <w:rFonts w:ascii="仿宋_GB2312"/>
          <w:sz w:val="32"/>
          <w:szCs w:val="32"/>
        </w:rPr>
      </w:pPr>
      <w:r>
        <w:rPr>
          <w:rFonts w:ascii="仿宋_GB2312" w:cs="宋体" w:hint="eastAsia"/>
          <w:sz w:val="32"/>
          <w:szCs w:val="32"/>
        </w:rPr>
        <w:t>根据《中华人民共和国政府信息公开条例》和《国务院办公厅政府信息与政务公开办公室关于政府信息公开工作年度报告有关事项的通知》要求，</w:t>
      </w:r>
      <w:r>
        <w:rPr>
          <w:rFonts w:ascii="仿宋_GB2312" w:hint="eastAsia"/>
          <w:sz w:val="32"/>
          <w:szCs w:val="32"/>
        </w:rPr>
        <w:t>结合工作实际，编制本报告。本报告由2022年度总体情况，行政机关主动公开政府信息情况，行政机关收到和处理政府信息公开申请情况，因政府信息公开工作被申请行政复议、提起行政诉讼情况，政府信息公开工作存在的主要问题及改进情况，其他需要报告的事项等六部分组成。</w:t>
      </w:r>
      <w:r>
        <w:rPr>
          <w:rFonts w:ascii="仿宋_GB2312"/>
          <w:sz w:val="32"/>
          <w:szCs w:val="32"/>
        </w:rPr>
        <w:t>本年度报告中所列数据的统计期限自2022年1月1日起，至2022年12月31日止可在隆化县人民政府门户网站（http://www.hebeilonghua.gov.cn/） 查询下载。</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adjustRightInd/>
        <w:snapToGrid/>
        <w:spacing w:beforeAutospacing="0" w:afterAutospacing="0" w:line="560" w:lineRule="exact"/>
        <w:ind w:left="0" w:firstLineChars="240" w:firstLine="714"/>
        <w:jc w:val="both"/>
        <w:rPr>
          <w:rFonts w:ascii="黑体" w:eastAsia="黑体" w:cs="黑体" w:hint="eastAsia"/>
          <w:color w:val="333333"/>
          <w:sz w:val="32"/>
          <w:szCs w:val="32"/>
        </w:rPr>
      </w:pPr>
      <w:r>
        <w:rPr>
          <w:rFonts w:ascii="黑体" w:eastAsia="黑体" w:cs="黑体" w:hint="eastAsia"/>
          <w:i w:val="0"/>
          <w:iCs w:val="0"/>
          <w:caps w:val="0"/>
          <w:smallCaps w:val="0"/>
          <w:color w:val="333333"/>
          <w:spacing w:val="0"/>
          <w:sz w:val="32"/>
          <w:szCs w:val="32"/>
          <w:shd w:val="clear" w:color="auto" w:fill="FFFFFF"/>
        </w:rPr>
        <w:t>一、总体情况</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adjustRightInd/>
        <w:snapToGrid/>
        <w:spacing w:before="0" w:beforeAutospacing="0" w:after="0" w:afterAutospacing="0" w:line="560" w:lineRule="exact"/>
        <w:ind w:left="0" w:firstLine="420"/>
        <w:jc w:val="both"/>
        <w:rPr>
          <w:rStyle w:val="17"/>
          <w:rFonts w:ascii="仿宋_GB2312" w:cs="仿宋_GB2312" w:hAnsi="仿宋_GB2312" w:hint="eastAsia"/>
          <w:color w:val="333333"/>
          <w:szCs w:val="32"/>
        </w:rPr>
      </w:pPr>
      <w:r>
        <w:rPr>
          <w:rStyle w:val="17"/>
          <w:rFonts w:ascii="楷体_GB2312" w:eastAsia="楷体_GB2312" w:cs="仿宋_GB2312" w:hint="eastAsia"/>
          <w:color w:val="333333"/>
          <w:sz w:val="32"/>
        </w:rPr>
        <w:t>（一）主动公开方面。</w:t>
      </w:r>
      <w:r>
        <w:rPr>
          <w:rStyle w:val="0"/>
          <w:rFonts w:ascii="仿宋_GB2312" w:cs="仿宋_GB2312" w:hint="eastAsia"/>
          <w:color w:val="000000"/>
          <w:kern w:val="0"/>
          <w:szCs w:val="32"/>
          <w:shd w:val="clear" w:color="auto" w:fill="FFFFFF"/>
        </w:rPr>
        <w:t>2022年隆化县继续</w:t>
      </w:r>
      <w:r>
        <w:rPr>
          <w:rFonts w:ascii="仿宋_GB2312" w:hint="eastAsia"/>
          <w:color w:val="000000"/>
          <w:sz w:val="32"/>
          <w:szCs w:val="32"/>
          <w:shd w:val="clear" w:color="auto" w:fill="FFFFFF"/>
        </w:rPr>
        <w:t>坚持以公开为常态、不公开为例外的原则，</w:t>
      </w:r>
      <w:r>
        <w:rPr>
          <w:rStyle w:val="18"/>
          <w:rFonts w:ascii="仿宋_GB2312" w:hint="eastAsia"/>
          <w:b w:val="0"/>
          <w:bCs w:val="0"/>
          <w:i w:val="0"/>
          <w:iCs w:val="0"/>
          <w:caps w:val="0"/>
          <w:smallCaps w:val="0"/>
          <w:spacing w:val="0"/>
          <w:szCs w:val="32"/>
        </w:rPr>
        <w:t>主动、及时、全面、准确地公开政府信息，发布重要会议、重要决策部署等方面信息，及时更新医疗卫生、稳岗就业、义务教育等重点领域政策动态，</w:t>
      </w:r>
      <w:r>
        <w:rPr>
          <w:rFonts w:ascii="仿宋_GB2312" w:hint="eastAsia"/>
          <w:sz w:val="32"/>
          <w:szCs w:val="32"/>
        </w:rPr>
        <w:t>有效保障了人民群众知情权、参与权、表达权、监督权，提升了</w:t>
      </w:r>
      <w:r>
        <w:rPr>
          <w:rFonts w:ascii="仿宋_GB2312"/>
          <w:sz w:val="32"/>
          <w:szCs w:val="32"/>
        </w:rPr>
        <w:t>县政府</w:t>
      </w:r>
      <w:r>
        <w:rPr>
          <w:rFonts w:ascii="仿宋_GB2312" w:hint="eastAsia"/>
          <w:sz w:val="32"/>
          <w:szCs w:val="32"/>
        </w:rPr>
        <w:t>治理体系和治理能力现代化水平。</w:t>
      </w:r>
    </w:p>
    <w:p>
      <w:pPr>
        <w:ind w:firstLineChars="200" w:firstLine="595"/>
        <w:rPr>
          <w:rFonts w:hint="eastAsia"/>
        </w:rPr>
      </w:pPr>
      <w:r>
        <w:rPr>
          <w:rStyle w:val="17"/>
          <w:rFonts w:ascii="楷体_GB2312" w:eastAsia="楷体_GB2312" w:hint="eastAsia"/>
          <w:color w:val="333333"/>
          <w:sz w:val="32"/>
        </w:rPr>
        <w:t>（二） 依申请公开方面。</w:t>
      </w:r>
      <w:r>
        <w:rPr>
          <w:rStyle w:val="18"/>
          <w:rFonts w:ascii="仿宋_GB2312" w:hint="eastAsia"/>
          <w:b w:val="0"/>
          <w:szCs w:val="32"/>
        </w:rPr>
        <w:t>对政府信息公开申请答复进行了规范，进一步</w:t>
      </w:r>
      <w:r>
        <w:rPr>
          <w:rStyle w:val="18"/>
          <w:rFonts w:ascii="仿宋_GB2312" w:hint="eastAsia"/>
          <w:b w:val="0"/>
          <w:szCs w:val="32"/>
          <w:bdr w:val="none" w:sz="0" w:space="0" w:color="auto"/>
        </w:rPr>
        <w:t>健全完善了政府信息公开申请接收、登记、审核、办理、答复、归档工作制度。2022年，</w:t>
      </w:r>
      <w:r>
        <w:rPr>
          <w:rFonts w:ascii="仿宋_GB2312" w:eastAsia="仿宋_GB2312" w:cs="仿宋_GB2312" w:hint="eastAsia"/>
          <w:sz w:val="32"/>
          <w:szCs w:val="32"/>
          <w:lang w:eastAsia="zh-CN"/>
        </w:rPr>
        <w:t>共办理政府信息公开</w:t>
      </w:r>
      <w:r>
        <w:rPr>
          <w:rFonts w:ascii="仿宋_GB2312" w:eastAsia="仿宋_GB2312" w:cs="仿宋_GB2312"/>
          <w:sz w:val="32"/>
          <w:szCs w:val="32"/>
          <w:lang w:eastAsia="zh-CN"/>
        </w:rPr>
        <w:t>申请</w:t>
      </w:r>
      <w:r>
        <w:rPr>
          <w:rFonts w:ascii="仿宋_GB2312" w:eastAsia="仿宋_GB2312" w:cs="仿宋_GB2312" w:hint="eastAsia"/>
          <w:sz w:val="32"/>
          <w:szCs w:val="32"/>
          <w:lang w:val="en-US" w:eastAsia="zh-CN"/>
        </w:rPr>
        <w:t>3件，均履行政府信息公开职责</w:t>
      </w:r>
      <w:r>
        <w:rPr>
          <w:rFonts w:ascii="仿宋_GB2312" w:eastAsia="仿宋_GB2312" w:cs="仿宋_GB2312"/>
          <w:sz w:val="32"/>
          <w:szCs w:val="32"/>
          <w:lang w:val="en-US" w:eastAsia="zh-CN"/>
        </w:rPr>
        <w:t>，</w:t>
      </w:r>
      <w:r>
        <w:rPr>
          <w:rStyle w:val="18"/>
          <w:rFonts w:ascii="仿宋_GB2312" w:hint="eastAsia"/>
          <w:b w:val="0"/>
          <w:szCs w:val="32"/>
          <w:bdr w:val="none" w:sz="0" w:space="0" w:color="auto"/>
        </w:rPr>
        <w:t>全部按《条例》和《实施办法》规定予以答复。</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adjustRightInd/>
        <w:snapToGrid/>
        <w:spacing w:beforeAutospacing="0" w:afterAutospacing="0" w:line="560" w:lineRule="exact"/>
        <w:ind w:left="0" w:firstLine="420"/>
        <w:jc w:val="both"/>
        <w:rPr>
          <w:rStyle w:val="18"/>
          <w:rFonts w:ascii="仿宋_GB2312" w:cs="仿宋_GB2312" w:hint="eastAsia"/>
          <w:b w:val="0"/>
          <w:szCs w:val="32"/>
          <w:bdr w:val="none" w:sz="0" w:space="0" w:color="auto"/>
        </w:rPr>
      </w:pPr>
      <w:r>
        <w:rPr>
          <w:rStyle w:val="17"/>
          <w:rFonts w:ascii="楷体_GB2312" w:eastAsia="楷体_GB2312" w:hint="eastAsia"/>
          <w:color w:val="333333"/>
          <w:sz w:val="32"/>
        </w:rPr>
        <w:t>（三）政府信息管理方面。</w:t>
      </w:r>
      <w:r>
        <w:rPr>
          <w:rStyle w:val="18"/>
          <w:rFonts w:ascii="仿宋_GB2312" w:cs="仿宋_GB2312" w:hint="eastAsia"/>
          <w:b w:val="0"/>
          <w:szCs w:val="32"/>
          <w:bdr w:val="none" w:sz="0" w:space="0" w:color="auto"/>
        </w:rPr>
        <w:t>严格落实审查责任，按照《条例》规定，坚持“谁公开、谁负责”原则严格实行政府信息公开工作责任制</w:t>
      </w:r>
      <w:r>
        <w:rPr>
          <w:rStyle w:val="18"/>
          <w:rFonts w:ascii="仿宋_GB2312" w:cs="仿宋_GB2312"/>
          <w:b w:val="0"/>
          <w:szCs w:val="32"/>
          <w:bdr w:val="none" w:sz="0" w:space="0" w:color="auto"/>
        </w:rPr>
        <w:t>，</w:t>
      </w:r>
      <w:r>
        <w:rPr>
          <w:rStyle w:val="18"/>
          <w:rFonts w:ascii="仿宋_GB2312" w:cs="仿宋_GB2312" w:hint="eastAsia"/>
          <w:b w:val="0"/>
          <w:szCs w:val="32"/>
          <w:bdr w:val="none" w:sz="0" w:space="0" w:color="auto"/>
        </w:rPr>
        <w:t>加强政府文件公开属性源头认定</w:t>
      </w:r>
      <w:r>
        <w:rPr>
          <w:rStyle w:val="18"/>
          <w:rFonts w:ascii="仿宋_GB2312" w:cs="仿宋_GB2312"/>
          <w:b w:val="0"/>
          <w:szCs w:val="32"/>
          <w:bdr w:val="none" w:sz="0" w:space="0" w:color="auto"/>
        </w:rPr>
        <w:t>，</w:t>
      </w:r>
      <w:r>
        <w:rPr>
          <w:rStyle w:val="18"/>
          <w:rFonts w:ascii="仿宋_GB2312" w:cs="仿宋_GB2312" w:hint="eastAsia"/>
          <w:b w:val="0"/>
          <w:szCs w:val="32"/>
          <w:bdr w:val="none" w:sz="0" w:space="0" w:color="auto"/>
        </w:rPr>
        <w:t>进一步规范了政府信息公开工作流程。</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adjustRightInd/>
        <w:snapToGrid/>
        <w:spacing w:beforeAutospacing="0" w:afterAutospacing="0" w:line="560" w:lineRule="exact"/>
        <w:ind w:left="0" w:firstLine="420"/>
        <w:jc w:val="both"/>
        <w:rPr>
          <w:rFonts w:hint="eastAsia"/>
          <w:sz w:val="32"/>
          <w:bdr w:val="none" w:sz="0" w:space="0" w:color="auto"/>
        </w:rPr>
      </w:pPr>
      <w:r>
        <w:rPr>
          <w:rFonts w:ascii="仿宋_GB2312"/>
          <w:i w:val="0"/>
          <w:iCs w:val="0"/>
          <w:sz w:val="32"/>
          <w:szCs w:val="32"/>
          <w:bdr w:val="none" w:sz="0" w:space="0" w:color="auto"/>
        </w:rPr>
        <w:drawing>
          <wp:anchor distT="0" distB="0" distL="85723" distR="85723" simplePos="0" relativeHeight="13" behindDoc="0" locked="0" layoutInCell="1" hidden="0" allowOverlap="1">
            <wp:simplePos x="0" y="0"/>
            <wp:positionH relativeFrom="column">
              <wp:posOffset>-104773</wp:posOffset>
            </wp:positionH>
            <wp:positionV relativeFrom="paragraph">
              <wp:posOffset>1474350</wp:posOffset>
            </wp:positionV>
            <wp:extent cx="5580380" cy="2218113"/>
            <wp:effectExtent l="0" t="0" r="0" b="0"/>
            <wp:wrapTopAndBottom/>
            <wp:docPr id="1" name="图片"/>
            <wp:cNvGraphicFramePr>
              <a:graphicFrameLocks noChangeAspect="1"/>
            </wp:cNvGraphicFramePr>
            <a:graphic>
              <a:graphicData uri="http://schemas.openxmlformats.org/drawingml/2006/picture">
                <pic:pic>
                  <pic:nvPicPr>
                    <pic:cNvPr id="3" name="图片 3"/>
                    <pic:cNvPicPr/>
                  </pic:nvPicPr>
                  <pic:blipFill>
                    <a:blip r:embed="rId2"/>
                    <a:stretch>
                      <a:fillRect/>
                    </a:stretch>
                  </pic:blipFill>
                  <pic:spPr>
                    <a:xfrm rot="0">
                      <a:off x="0" y="0"/>
                      <a:ext cx="5580380" cy="2218113"/>
                    </a:xfrm>
                    <a:prstGeom prst="rect"/>
                    <a:noFill/>
                    <a:ln w="9525" cmpd="sng" cap="flat">
                      <a:noFill/>
                      <a:prstDash val="solid"/>
                      <a:miter/>
                    </a:ln>
                  </pic:spPr>
                </pic:pic>
              </a:graphicData>
            </a:graphic>
          </wp:anchor>
        </w:drawing>
      </w:r>
      <w:r>
        <w:rPr>
          <w:rStyle w:val="17"/>
          <w:rFonts w:ascii="楷体_GB2312" w:eastAsia="楷体_GB2312" w:hint="eastAsia"/>
          <w:color w:val="333333"/>
          <w:sz w:val="32"/>
        </w:rPr>
        <w:t>（四）平台建设方面。</w:t>
      </w:r>
      <w:r>
        <w:rPr>
          <w:rFonts w:ascii="仿宋_GB2312" w:hint="eastAsia"/>
          <w:i w:val="0"/>
          <w:iCs w:val="0"/>
          <w:sz w:val="32"/>
          <w:szCs w:val="32"/>
          <w:bdr w:val="none" w:sz="0" w:space="0" w:color="auto"/>
        </w:rPr>
        <w:t>对县政府信息公开平台进行了全面升级改版，整合</w:t>
      </w:r>
      <w:r>
        <w:rPr>
          <w:rFonts w:ascii="仿宋_GB2312"/>
          <w:i w:val="0"/>
          <w:iCs w:val="0"/>
          <w:sz w:val="32"/>
          <w:szCs w:val="32"/>
          <w:bdr w:val="none" w:sz="0" w:space="0" w:color="auto"/>
        </w:rPr>
        <w:t>接</w:t>
      </w:r>
      <w:r>
        <w:rPr>
          <w:rFonts w:ascii="仿宋_GB2312" w:hint="eastAsia"/>
          <w:i w:val="0"/>
          <w:iCs w:val="0"/>
          <w:sz w:val="32"/>
          <w:szCs w:val="32"/>
          <w:bdr w:val="none" w:sz="0" w:space="0" w:color="auto"/>
        </w:rPr>
        <w:t>入市政府集约化平台，进一步优化了栏目结构，更新信息公开专栏，丰富信息公开内容，充分发挥政府网站的信息发布主阵地作用。</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ascii="楷体" w:eastAsia="楷体"/>
          <w:color w:val="000000"/>
          <w:sz w:val="29"/>
          <w:szCs w:val="29"/>
        </w:rPr>
      </w:pPr>
      <w:r>
        <w:rPr>
          <w:rStyle w:val="17"/>
          <w:rFonts w:ascii="楷体_GB2312" w:eastAsia="楷体_GB2312"/>
          <w:color w:val="333333"/>
          <w:sz w:val="32"/>
        </w:rPr>
        <w:drawing>
          <wp:anchor distT="0" distB="0" distL="85723" distR="85723" simplePos="0" relativeHeight="15" behindDoc="0" locked="0" layoutInCell="1" hidden="0" allowOverlap="1">
            <wp:simplePos x="0" y="0"/>
            <wp:positionH relativeFrom="column">
              <wp:posOffset>-190497</wp:posOffset>
            </wp:positionH>
            <wp:positionV relativeFrom="paragraph">
              <wp:posOffset>123156</wp:posOffset>
            </wp:positionV>
            <wp:extent cx="5580379" cy="4502881"/>
            <wp:effectExtent l="0" t="0" r="0" b="0"/>
            <wp:wrapTopAndBottom/>
            <wp:docPr id="4" name="图片"/>
            <wp:cNvGraphicFramePr>
              <a:graphicFrameLocks noChangeAspect="1"/>
            </wp:cNvGraphicFramePr>
            <a:graphic>
              <a:graphicData uri="http://schemas.openxmlformats.org/drawingml/2006/picture">
                <pic:pic>
                  <pic:nvPicPr>
                    <pic:cNvPr id="6" name="图片 6"/>
                    <pic:cNvPicPr/>
                  </pic:nvPicPr>
                  <pic:blipFill>
                    <a:blip r:embed="rId3"/>
                    <a:stretch>
                      <a:fillRect/>
                    </a:stretch>
                  </pic:blipFill>
                  <pic:spPr>
                    <a:xfrm rot="0">
                      <a:off x="0" y="0"/>
                      <a:ext cx="5580379" cy="4502881"/>
                    </a:xfrm>
                    <a:prstGeom prst="rect"/>
                    <a:noFill/>
                    <a:ln w="9525" cmpd="sng" cap="flat">
                      <a:noFill/>
                      <a:prstDash val="solid"/>
                      <a:miter/>
                    </a:ln>
                  </pic:spPr>
                </pic:pic>
              </a:graphicData>
            </a:graphic>
          </wp:anchor>
        </w:drawing>
      </w:r>
      <w:r>
        <w:rPr>
          <w:rFonts w:ascii="楷体" w:eastAsia="楷体" w:hint="eastAsia"/>
          <w:color w:val="000000"/>
          <w:sz w:val="29"/>
          <w:szCs w:val="29"/>
        </w:rPr>
        <w:t>图</w:t>
      </w:r>
      <w:r>
        <w:rPr>
          <w:rFonts w:ascii="楷体" w:eastAsia="楷体"/>
          <w:color w:val="000000"/>
          <w:sz w:val="29"/>
          <w:szCs w:val="29"/>
        </w:rPr>
        <w:t>1</w:t>
      </w:r>
      <w:r>
        <w:rPr>
          <w:rFonts w:ascii="楷体" w:eastAsia="楷体" w:hint="eastAsia"/>
          <w:color w:val="000000"/>
          <w:sz w:val="29"/>
          <w:szCs w:val="29"/>
        </w:rPr>
        <w:t>-</w:t>
      </w:r>
      <w:r>
        <w:rPr>
          <w:rFonts w:ascii="楷体" w:eastAsia="楷体" w:hint="eastAsia"/>
          <w:color w:val="000000"/>
          <w:sz w:val="29"/>
          <w:szCs w:val="29"/>
          <w:bdr w:val="none" w:sz="0" w:space="0" w:color="auto"/>
        </w:rPr>
        <w:t>政府信息公开平台</w:t>
      </w:r>
      <w:r>
        <w:rPr>
          <w:rFonts w:ascii="楷体" w:eastAsia="楷体"/>
          <w:color w:val="000000"/>
          <w:sz w:val="29"/>
          <w:szCs w:val="29"/>
          <w:bdr w:val="none" w:sz="0" w:space="0" w:color="auto"/>
        </w:rPr>
        <w:t>全面升级后页面</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Style w:val="18"/>
          <w:rFonts w:ascii="仿宋_GB2312" w:cs="仿宋_GB2312" w:hint="eastAsia"/>
          <w:b w:val="0"/>
          <w:szCs w:val="32"/>
          <w:bdr w:val="none" w:sz="0" w:space="0" w:color="auto"/>
        </w:rPr>
      </w:pPr>
      <w:r>
        <w:rPr>
          <w:rStyle w:val="17"/>
          <w:rFonts w:ascii="楷体_GB2312" w:eastAsia="楷体_GB2312" w:hint="eastAsia"/>
          <w:color w:val="333333"/>
          <w:sz w:val="32"/>
        </w:rPr>
        <w:t>（五）监督保障方面。</w:t>
      </w:r>
      <w:r>
        <w:rPr>
          <w:rStyle w:val="18"/>
          <w:rFonts w:ascii="仿宋_GB2312" w:cs="仿宋_GB2312" w:hint="eastAsia"/>
          <w:b w:val="0"/>
          <w:szCs w:val="32"/>
          <w:bdr w:val="none" w:sz="0" w:space="0" w:color="auto"/>
        </w:rPr>
        <w:t>加强组织领导，不断提高相关人员能力，将政府信息公开各项工作落实到位，加强审查监督，严格履行审查程序</w:t>
      </w:r>
      <w:r>
        <w:rPr>
          <w:rStyle w:val="18"/>
          <w:rFonts w:ascii="仿宋_GB2312" w:cs="仿宋_GB2312"/>
          <w:b w:val="0"/>
          <w:szCs w:val="32"/>
          <w:bdr w:val="none" w:sz="0" w:space="0" w:color="auto"/>
        </w:rPr>
        <w:t>，</w:t>
      </w:r>
      <w:r>
        <w:rPr>
          <w:rStyle w:val="18"/>
          <w:rFonts w:ascii="仿宋_GB2312" w:cs="仿宋_GB2312" w:hint="eastAsia"/>
          <w:b w:val="0"/>
          <w:szCs w:val="32"/>
          <w:bdr w:val="none" w:sz="0" w:space="0" w:color="auto"/>
        </w:rPr>
        <w:t xml:space="preserve"> 定期对已发布信息进行自查，及时纠正存在的问题。</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rPr>
      </w:pP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Lines="50" w:before="290" w:beforeAutospacing="0" w:after="0" w:afterAutospacing="0" w:line="560" w:lineRule="exact"/>
        <w:ind w:right="0" w:firstLineChars="200" w:firstLine="595"/>
        <w:jc w:val="both"/>
        <w:textAlignment w:val="auto"/>
        <w:rPr>
          <w:rFonts w:ascii="黑体" w:eastAsia="黑体" w:cs="黑体" w:hint="eastAsia"/>
          <w:i w:val="0"/>
          <w:caps w:val="0"/>
          <w:smallCaps w:val="0"/>
          <w:snapToGrid w:val="0"/>
          <w:color w:val="auto"/>
          <w:spacing w:val="0"/>
          <w:kern w:val="0"/>
          <w:sz w:val="32"/>
          <w:szCs w:val="32"/>
          <w:shd w:val="clear" w:color="auto" w:fill="FFFFFF"/>
          <w:lang w:val="en-US" w:eastAsia="zh-CN"/>
        </w:rPr>
      </w:pPr>
      <w:r>
        <w:rPr>
          <w:rFonts w:ascii="黑体" w:eastAsia="黑体" w:cs="黑体" w:hint="eastAsia"/>
          <w:i w:val="0"/>
          <w:caps w:val="0"/>
          <w:smallCaps w:val="0"/>
          <w:snapToGrid w:val="0"/>
          <w:color w:val="auto"/>
          <w:spacing w:val="0"/>
          <w:kern w:val="0"/>
          <w:sz w:val="32"/>
          <w:szCs w:val="32"/>
          <w:shd w:val="clear" w:color="auto" w:fill="FFFFFF"/>
          <w:lang w:val="en-US" w:eastAsia="zh-CN"/>
        </w:rPr>
        <w:t>二、主动公开政府信息情况</w:t>
      </w:r>
    </w:p>
    <w:tbl>
      <w:tblPr>
        <w:jc w:val="center"/>
        <w:tblW w:w="9740" w:type="dxa"/>
        <w:tblBorders>
          <w:top w:val="none" w:sz="0" w:space="0" w:color="auto"/>
          <w:left w:val="none" w:sz="0" w:space="0" w:color="auto"/>
          <w:bottom w:val="none" w:sz="0" w:space="0" w:color="auto"/>
          <w:right w:val="none" w:sz="0" w:space="0" w:color="auto"/>
        </w:tblBorders>
        <w:shd w:val="clear" w:color="auto" w:fill="auto"/>
        <w:tblCellMar>
          <w:top w:w="0" w:type="dxa"/>
          <w:left w:w="0" w:type="dxa"/>
          <w:bottom w:w="0" w:type="dxa"/>
          <w:right w:w="0" w:type="dxa"/>
        </w:tblCellMar>
      </w:tblPr>
      <w:tblGrid>
        <w:gridCol w:w="2435"/>
        <w:gridCol w:w="2435"/>
        <w:gridCol w:w="2435"/>
        <w:gridCol w:w="2435"/>
      </w:tblGrid>
      <w:tr>
        <w:trPr>
          <w:trHeight w:val="340"/>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000000"/>
                <w:kern w:val="0"/>
                <w:sz w:val="20"/>
                <w:szCs w:val="20"/>
                <w:lang w:val="en-US" w:eastAsia="zh-CN"/>
              </w:rPr>
              <w:t>第二十条第（一）项</w:t>
            </w:r>
          </w:p>
        </w:tc>
      </w:tr>
      <w:tr>
        <w:trPr>
          <w:trHeight w:val="340"/>
        </w:trPr>
        <w:tc>
          <w:tcPr>
            <w:tcW w:w="2435"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000000"/>
                <w:kern w:val="0"/>
                <w:sz w:val="20"/>
                <w:szCs w:val="20"/>
                <w:lang w:val="en-US" w:eastAsia="zh-CN"/>
              </w:rPr>
              <w:t>信息内容</w:t>
            </w:r>
          </w:p>
        </w:tc>
        <w:tc>
          <w:tcPr>
            <w:tcW w:w="2435" w:type="dxa"/>
            <w:tcBorders>
              <w:top w:val="single" w:sz="8" w:space="0" w:color="auto"/>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000000"/>
                <w:kern w:val="0"/>
                <w:sz w:val="20"/>
                <w:szCs w:val="20"/>
                <w:lang w:val="en-US" w:eastAsia="zh-CN"/>
              </w:rPr>
              <w:t>本年</w:t>
            </w:r>
            <w:r>
              <w:rPr>
                <w:rFonts w:ascii="宋体" w:eastAsia="宋体" w:cs="宋体" w:hint="eastAsia"/>
                <w:color w:val="auto"/>
                <w:kern w:val="0"/>
                <w:sz w:val="20"/>
                <w:szCs w:val="20"/>
                <w:lang w:val="en-US" w:eastAsia="zh-CN"/>
              </w:rPr>
              <w:t>制发件数</w:t>
            </w:r>
          </w:p>
        </w:tc>
        <w:tc>
          <w:tcPr>
            <w:tcW w:w="2435" w:type="dxa"/>
            <w:tcBorders>
              <w:top w:val="single" w:sz="8" w:space="0" w:color="auto"/>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000000"/>
                <w:kern w:val="0"/>
                <w:sz w:val="20"/>
                <w:szCs w:val="20"/>
                <w:lang w:val="en-US" w:eastAsia="zh-CN"/>
              </w:rPr>
              <w:t>本年废止件数</w:t>
            </w:r>
          </w:p>
        </w:tc>
        <w:tc>
          <w:tcPr>
            <w:tcW w:w="2435" w:type="dxa"/>
            <w:tcBorders>
              <w:top w:val="single" w:sz="8" w:space="0" w:color="auto"/>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000000"/>
                <w:kern w:val="0"/>
                <w:sz w:val="20"/>
                <w:szCs w:val="20"/>
                <w:lang w:val="en-US" w:eastAsia="zh-CN"/>
              </w:rPr>
              <w:t>现行有效件</w:t>
            </w:r>
            <w:r>
              <w:rPr>
                <w:rFonts w:ascii="宋体" w:eastAsia="宋体" w:cs="宋体" w:hint="eastAsia"/>
                <w:color w:val="auto"/>
                <w:kern w:val="0"/>
                <w:sz w:val="20"/>
                <w:szCs w:val="20"/>
                <w:lang w:val="en-US" w:eastAsia="zh-CN"/>
              </w:rPr>
              <w:t>数</w:t>
            </w:r>
          </w:p>
        </w:tc>
      </w:tr>
      <w:tr>
        <w:trPr>
          <w:trHeight w:val="340"/>
        </w:trPr>
        <w:tc>
          <w:tcPr>
            <w:tcW w:w="2435"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cs="宋体" w:hint="eastAsia"/>
                <w:color w:val="000000"/>
                <w:kern w:val="0"/>
                <w:sz w:val="20"/>
                <w:szCs w:val="20"/>
                <w:lang w:val="en-US" w:eastAsia="zh-CN"/>
              </w:rPr>
              <w:t>规章</w:t>
            </w:r>
          </w:p>
        </w:tc>
        <w:tc>
          <w:tcPr>
            <w:tcW w:w="2435"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lang w:val="en-US"/>
              </w:rPr>
            </w:pPr>
            <w:r>
              <w:rPr>
                <w:rFonts w:ascii="宋体" w:eastAsia="宋体" w:cs="宋体" w:hint="eastAsia"/>
                <w:color w:val="000000"/>
                <w:kern w:val="0"/>
                <w:sz w:val="20"/>
                <w:szCs w:val="20"/>
                <w:lang w:val="en-US" w:eastAsia="zh-CN"/>
              </w:rPr>
              <w:t>　　0</w:t>
            </w:r>
          </w:p>
        </w:tc>
        <w:tc>
          <w:tcPr>
            <w:tcW w:w="2435"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lang w:val="en-US"/>
              </w:rPr>
            </w:pPr>
            <w:r>
              <w:rPr>
                <w:rFonts w:ascii="宋体" w:eastAsia="宋体" w:cs="宋体" w:hint="eastAsia"/>
                <w:color w:val="000000"/>
                <w:kern w:val="0"/>
                <w:sz w:val="20"/>
                <w:szCs w:val="20"/>
                <w:lang w:val="en-US" w:eastAsia="zh-CN"/>
              </w:rPr>
              <w:t> 　0</w:t>
            </w:r>
          </w:p>
        </w:tc>
        <w:tc>
          <w:tcPr>
            <w:tcW w:w="2435"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lang w:val="en-US"/>
              </w:rPr>
            </w:pPr>
            <w:r>
              <w:rPr>
                <w:rFonts w:ascii="Calibri" w:eastAsia="仿宋_GB2312" w:cs="Calibri" w:hAnsi="Calibri" w:hint="eastAsia"/>
                <w:color w:val="auto"/>
                <w:kern w:val="0"/>
                <w:sz w:val="21"/>
                <w:szCs w:val="21"/>
                <w:lang w:val="en-US" w:eastAsia="zh-CN"/>
              </w:rPr>
              <w:t> </w:t>
            </w:r>
            <w:r>
              <w:rPr>
                <w:rFonts w:ascii="宋体" w:eastAsia="宋体" w:cs="宋体" w:hint="eastAsia"/>
                <w:color w:val="000000"/>
                <w:kern w:val="0"/>
                <w:sz w:val="20"/>
                <w:szCs w:val="20"/>
                <w:lang w:val="en-US" w:eastAsia="zh-CN"/>
              </w:rPr>
              <w:t>0</w:t>
            </w:r>
          </w:p>
        </w:tc>
      </w:tr>
      <w:tr>
        <w:trPr>
          <w:trHeight w:val="340"/>
        </w:trPr>
        <w:tc>
          <w:tcPr>
            <w:tcW w:w="2435"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cs="宋体" w:hint="eastAsia"/>
                <w:color w:val="000000"/>
                <w:kern w:val="0"/>
                <w:sz w:val="20"/>
                <w:szCs w:val="20"/>
                <w:lang w:val="en-US" w:eastAsia="zh-CN"/>
              </w:rPr>
              <w:t>行政规范性文件</w:t>
            </w:r>
          </w:p>
        </w:tc>
        <w:tc>
          <w:tcPr>
            <w:tcW w:w="2435"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lang w:val="en-US"/>
              </w:rPr>
            </w:pPr>
            <w:r>
              <w:rPr>
                <w:rFonts w:ascii="宋体" w:eastAsia="宋体" w:cs="宋体" w:hint="eastAsia"/>
                <w:color w:val="000000"/>
                <w:kern w:val="0"/>
                <w:sz w:val="20"/>
                <w:szCs w:val="20"/>
                <w:lang w:val="en-US" w:eastAsia="zh-CN"/>
              </w:rPr>
              <w:t>　　</w:t>
            </w:r>
            <w:r>
              <w:rPr>
                <w:rFonts w:ascii="宋体" w:eastAsia="宋体" w:cs="宋体"/>
                <w:color w:val="000000"/>
                <w:kern w:val="0"/>
                <w:sz w:val="20"/>
                <w:szCs w:val="20"/>
                <w:lang w:val="en-US" w:eastAsia="zh-CN"/>
              </w:rPr>
              <w:t>5</w:t>
            </w:r>
          </w:p>
        </w:tc>
        <w:tc>
          <w:tcPr>
            <w:tcW w:w="2435"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lang w:val="en-US"/>
              </w:rPr>
            </w:pPr>
            <w:r>
              <w:rPr>
                <w:rFonts w:ascii="宋体" w:eastAsia="宋体" w:cs="宋体" w:hint="eastAsia"/>
                <w:color w:val="000000"/>
                <w:kern w:val="0"/>
                <w:sz w:val="20"/>
                <w:szCs w:val="20"/>
                <w:lang w:val="en-US" w:eastAsia="zh-CN"/>
              </w:rPr>
              <w:t> 　</w:t>
            </w:r>
            <w:r>
              <w:rPr>
                <w:rFonts w:ascii="宋体" w:eastAsia="宋体" w:cs="宋体"/>
                <w:color w:val="000000"/>
                <w:kern w:val="0"/>
                <w:sz w:val="20"/>
                <w:szCs w:val="20"/>
                <w:lang w:val="en-US" w:eastAsia="zh-CN"/>
              </w:rPr>
              <w:t>9</w:t>
            </w:r>
          </w:p>
        </w:tc>
        <w:tc>
          <w:tcPr>
            <w:tcW w:w="2435"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lang w:val="en-US"/>
              </w:rPr>
            </w:pPr>
            <w:r>
              <w:rPr>
                <w:rFonts w:ascii="宋体" w:eastAsia="宋体" w:cs="宋体"/>
                <w:color w:val="000000"/>
                <w:kern w:val="0"/>
                <w:sz w:val="20"/>
                <w:szCs w:val="20"/>
              </w:rPr>
              <w:t>28</w:t>
            </w:r>
          </w:p>
        </w:tc>
      </w:tr>
      <w:tr>
        <w:trPr>
          <w:trHeight w:val="340"/>
        </w:trPr>
        <w:tc>
          <w:tcPr>
            <w:tcW w:w="9740" w:type="dxa"/>
            <w:gridSpan w:val="4"/>
            <w:tcBorders>
              <w:top w:val="nil"/>
              <w:left w:val="single" w:sz="8" w:space="0" w:color="auto"/>
              <w:bottom w:val="single" w:sz="8" w:space="0" w:color="auto"/>
              <w:right w:val="single" w:sz="8" w:space="0" w:color="auto"/>
            </w:tcBorders>
            <w:shd w:val="clear" w:color="auto" w:fill="C6D9F1"/>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000000"/>
                <w:kern w:val="0"/>
                <w:sz w:val="20"/>
                <w:szCs w:val="20"/>
                <w:lang w:val="en-US" w:eastAsia="zh-CN"/>
              </w:rPr>
              <w:t>第二十条第（五）项</w:t>
            </w:r>
          </w:p>
        </w:tc>
      </w:tr>
      <w:tr>
        <w:trPr>
          <w:trHeight w:val="340"/>
        </w:trPr>
        <w:tc>
          <w:tcPr>
            <w:tcW w:w="2435"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000000"/>
                <w:kern w:val="0"/>
                <w:sz w:val="20"/>
                <w:szCs w:val="20"/>
                <w:lang w:val="en-US" w:eastAsia="zh-CN"/>
              </w:rPr>
              <w:t>信息内容</w:t>
            </w:r>
          </w:p>
        </w:tc>
        <w:tc>
          <w:tcPr>
            <w:tcW w:w="7305" w:type="dxa"/>
            <w:gridSpan w:val="3"/>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000000"/>
                <w:kern w:val="0"/>
                <w:sz w:val="20"/>
                <w:szCs w:val="20"/>
                <w:lang w:val="en-US" w:eastAsia="zh-CN"/>
              </w:rPr>
              <w:t>本年处理决定数量</w:t>
            </w:r>
          </w:p>
        </w:tc>
      </w:tr>
      <w:tr>
        <w:trPr>
          <w:trHeight w:val="340"/>
        </w:trPr>
        <w:tc>
          <w:tcPr>
            <w:tcW w:w="2435"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cs="宋体" w:hint="eastAsia"/>
                <w:color w:val="000000"/>
                <w:kern w:val="0"/>
                <w:sz w:val="20"/>
                <w:szCs w:val="20"/>
                <w:lang w:val="en-US" w:eastAsia="zh-CN"/>
              </w:rPr>
              <w:t>行政许可</w:t>
            </w:r>
          </w:p>
        </w:tc>
        <w:tc>
          <w:tcPr>
            <w:tcW w:w="7305" w:type="dxa"/>
            <w:gridSpan w:val="3"/>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lang w:val="en-US"/>
              </w:rPr>
            </w:pPr>
            <w:r>
              <w:rPr>
                <w:rFonts w:ascii="宋体" w:eastAsia="宋体" w:cs="宋体" w:hint="eastAsia"/>
                <w:color w:val="auto"/>
                <w:kern w:val="0"/>
                <w:sz w:val="20"/>
                <w:szCs w:val="20"/>
                <w:lang w:val="en-US" w:eastAsia="zh-CN"/>
              </w:rPr>
              <w:t xml:space="preserve">  </w:t>
            </w:r>
            <w:r>
              <w:rPr>
                <w:rFonts w:ascii="宋体" w:eastAsia="宋体" w:cs="宋体"/>
                <w:color w:val="auto"/>
                <w:kern w:val="0"/>
                <w:sz w:val="20"/>
                <w:szCs w:val="20"/>
                <w:lang w:val="en-US" w:eastAsia="zh-CN"/>
              </w:rPr>
              <w:t>40529</w:t>
            </w:r>
          </w:p>
        </w:tc>
      </w:tr>
      <w:tr>
        <w:trPr>
          <w:trHeight w:val="340"/>
        </w:trPr>
        <w:tc>
          <w:tcPr>
            <w:tcW w:w="9740" w:type="dxa"/>
            <w:gridSpan w:val="4"/>
            <w:tcBorders>
              <w:top w:val="nil"/>
              <w:left w:val="single" w:sz="8" w:space="0" w:color="auto"/>
              <w:bottom w:val="single" w:sz="8" w:space="0" w:color="auto"/>
              <w:right w:val="single" w:sz="8" w:space="0" w:color="auto"/>
            </w:tcBorders>
            <w:shd w:val="clear" w:color="auto" w:fill="C6D9F1"/>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000000"/>
                <w:kern w:val="0"/>
                <w:sz w:val="20"/>
                <w:szCs w:val="20"/>
                <w:lang w:val="en-US" w:eastAsia="zh-CN"/>
              </w:rPr>
              <w:t>第二十条第（六）项</w:t>
            </w:r>
          </w:p>
        </w:tc>
      </w:tr>
      <w:tr>
        <w:trPr>
          <w:trHeight w:val="340"/>
        </w:trPr>
        <w:tc>
          <w:tcPr>
            <w:tcW w:w="2435"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000000"/>
                <w:kern w:val="0"/>
                <w:sz w:val="20"/>
                <w:szCs w:val="20"/>
                <w:lang w:val="en-US" w:eastAsia="zh-CN"/>
              </w:rPr>
              <w:t>信息内容</w:t>
            </w:r>
          </w:p>
        </w:tc>
        <w:tc>
          <w:tcPr>
            <w:tcW w:w="7305" w:type="dxa"/>
            <w:gridSpan w:val="3"/>
            <w:tcBorders>
              <w:top w:val="single" w:sz="8" w:space="0" w:color="auto"/>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000000"/>
                <w:kern w:val="0"/>
                <w:sz w:val="20"/>
                <w:szCs w:val="20"/>
                <w:lang w:val="en-US" w:eastAsia="zh-CN"/>
              </w:rPr>
              <w:t>本年处理决定数量</w:t>
            </w:r>
          </w:p>
        </w:tc>
      </w:tr>
      <w:tr>
        <w:trPr>
          <w:trHeight w:val="340"/>
        </w:trPr>
        <w:tc>
          <w:tcPr>
            <w:tcW w:w="2435"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cs="宋体" w:hint="eastAsia"/>
                <w:color w:val="000000"/>
                <w:kern w:val="0"/>
                <w:sz w:val="20"/>
                <w:szCs w:val="20"/>
                <w:lang w:val="en-US" w:eastAsia="zh-CN"/>
              </w:rPr>
              <w:t>行政处罚</w:t>
            </w:r>
          </w:p>
        </w:tc>
        <w:tc>
          <w:tcPr>
            <w:tcW w:w="7305" w:type="dxa"/>
            <w:gridSpan w:val="3"/>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lang w:val="en-US"/>
              </w:rPr>
            </w:pPr>
            <w:r>
              <w:rPr>
                <w:rFonts w:ascii="宋体" w:eastAsia="宋体" w:cs="宋体"/>
                <w:color w:val="000000"/>
                <w:kern w:val="0"/>
                <w:sz w:val="20"/>
                <w:szCs w:val="20"/>
                <w:lang w:val="en-US" w:eastAsia="zh-CN"/>
              </w:rPr>
              <w:t>130422</w:t>
            </w:r>
          </w:p>
        </w:tc>
      </w:tr>
      <w:tr>
        <w:trPr>
          <w:trHeight w:val="340"/>
        </w:trPr>
        <w:tc>
          <w:tcPr>
            <w:tcW w:w="2435"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cs="宋体" w:hint="eastAsia"/>
                <w:color w:val="000000"/>
                <w:kern w:val="0"/>
                <w:sz w:val="20"/>
                <w:szCs w:val="20"/>
                <w:lang w:val="en-US" w:eastAsia="zh-CN"/>
              </w:rPr>
              <w:t>行政强制</w:t>
            </w:r>
          </w:p>
        </w:tc>
        <w:tc>
          <w:tcPr>
            <w:tcW w:w="7305" w:type="dxa"/>
            <w:gridSpan w:val="3"/>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lang w:val="en-US"/>
              </w:rPr>
            </w:pPr>
            <w:r>
              <w:rPr>
                <w:rFonts w:ascii="宋体" w:eastAsia="宋体" w:cs="宋体"/>
                <w:color w:val="000000"/>
                <w:kern w:val="0"/>
                <w:sz w:val="20"/>
                <w:szCs w:val="20"/>
                <w:lang w:val="en-US" w:eastAsia="zh-CN"/>
              </w:rPr>
              <w:t>235</w:t>
            </w:r>
          </w:p>
        </w:tc>
      </w:tr>
      <w:tr>
        <w:trPr>
          <w:trHeight w:val="340"/>
        </w:trPr>
        <w:tc>
          <w:tcPr>
            <w:tcW w:w="9740" w:type="dxa"/>
            <w:gridSpan w:val="4"/>
            <w:tcBorders>
              <w:top w:val="nil"/>
              <w:left w:val="single" w:sz="8" w:space="0" w:color="auto"/>
              <w:bottom w:val="single" w:sz="8" w:space="0" w:color="auto"/>
              <w:right w:val="single" w:sz="8" w:space="0" w:color="auto"/>
            </w:tcBorders>
            <w:shd w:val="clear" w:color="auto" w:fill="C6D9F1"/>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000000"/>
                <w:kern w:val="0"/>
                <w:sz w:val="20"/>
                <w:szCs w:val="20"/>
                <w:lang w:val="en-US" w:eastAsia="zh-CN"/>
              </w:rPr>
              <w:t>第二十条第（八）项</w:t>
            </w:r>
          </w:p>
        </w:tc>
      </w:tr>
      <w:tr>
        <w:trPr>
          <w:trHeight w:val="340"/>
        </w:trPr>
        <w:tc>
          <w:tcPr>
            <w:tcW w:w="2435"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000000"/>
                <w:kern w:val="0"/>
                <w:sz w:val="20"/>
                <w:szCs w:val="20"/>
                <w:lang w:val="en-US" w:eastAsia="zh-CN"/>
              </w:rPr>
              <w:t>信息内容</w:t>
            </w:r>
          </w:p>
        </w:tc>
        <w:tc>
          <w:tcPr>
            <w:tcW w:w="7305" w:type="dxa"/>
            <w:gridSpan w:val="3"/>
            <w:tcBorders>
              <w:top w:val="nil"/>
              <w:left w:val="nil"/>
              <w:bottom w:val="single" w:sz="8" w:space="0" w:color="auto"/>
              <w:right w:val="single" w:sz="8" w:space="0" w:color="000000"/>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000000"/>
                <w:kern w:val="0"/>
                <w:sz w:val="20"/>
                <w:szCs w:val="20"/>
                <w:lang w:val="en-US" w:eastAsia="zh-CN"/>
              </w:rPr>
              <w:t>本年收费金额（单位：万元）</w:t>
            </w:r>
          </w:p>
        </w:tc>
      </w:tr>
      <w:tr>
        <w:trPr>
          <w:trHeight w:val="340"/>
        </w:trPr>
        <w:tc>
          <w:tcPr>
            <w:tcW w:w="2435"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cs="宋体" w:hint="eastAsia"/>
                <w:color w:val="000000"/>
                <w:kern w:val="0"/>
                <w:sz w:val="20"/>
                <w:szCs w:val="20"/>
                <w:lang w:val="en-US" w:eastAsia="zh-CN"/>
              </w:rPr>
              <w:t>行政事业性收费</w:t>
            </w:r>
          </w:p>
        </w:tc>
        <w:tc>
          <w:tcPr>
            <w:tcW w:w="7305" w:type="dxa"/>
            <w:gridSpan w:val="3"/>
            <w:tcBorders>
              <w:top w:val="nil"/>
              <w:left w:val="nil"/>
              <w:bottom w:val="single" w:sz="8" w:space="0" w:color="auto"/>
              <w:right w:val="single" w:sz="8" w:space="0" w:color="000000"/>
            </w:tcBorders>
            <w:shd w:val="clear" w:color="auto" w:fill="auto"/>
            <w:noWrap/>
            <w:tcMar>
              <w:left w:w="57" w:type="dxa"/>
              <w:right w:w="57" w:type="dxa"/>
            </w:tcMar>
            <w:vAlign w:val="center"/>
          </w:tcPr>
          <w:p>
            <w:pPr>
              <w:ind w:firstLineChars="100" w:firstLine="178"/>
              <w:jc w:val="center"/>
              <w:rPr>
                <w:rFonts w:ascii="宋体" w:eastAsia="仿宋_GB2312" w:hAnsi="宋体" w:hint="eastAsia"/>
                <w:sz w:val="24"/>
                <w:szCs w:val="24"/>
                <w:lang w:val="en-US" w:eastAsia="zh-CN"/>
              </w:rPr>
            </w:pPr>
            <w:r>
              <w:rPr>
                <w:rFonts w:ascii="宋体" w:eastAsia="宋体" w:cs="宋体"/>
                <w:color w:val="000000"/>
                <w:kern w:val="0"/>
                <w:sz w:val="20"/>
                <w:szCs w:val="20"/>
                <w:lang w:val="en-US" w:eastAsia="zh-CN"/>
              </w:rPr>
              <w:t>2</w:t>
            </w:r>
            <w:r>
              <w:rPr>
                <w:rFonts w:ascii="宋体" w:eastAsia="宋体" w:cs="宋体"/>
                <w:color w:val="000000"/>
                <w:kern w:val="0"/>
                <w:sz w:val="20"/>
                <w:szCs w:val="20"/>
              </w:rPr>
              <w:t>829</w:t>
            </w:r>
          </w:p>
        </w:tc>
      </w:tr>
    </w:tbl>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Lines="50" w:before="290" w:beforeAutospacing="0" w:after="0" w:afterAutospacing="0" w:line="560" w:lineRule="exact"/>
        <w:ind w:right="0" w:firstLineChars="200" w:firstLine="595"/>
        <w:jc w:val="both"/>
        <w:textAlignment w:val="auto"/>
        <w:rPr>
          <w:rFonts w:ascii="黑体" w:eastAsia="黑体" w:cs="黑体" w:hint="eastAsia"/>
          <w:i w:val="0"/>
          <w:caps w:val="0"/>
          <w:smallCaps w:val="0"/>
          <w:snapToGrid w:val="0"/>
          <w:color w:val="auto"/>
          <w:spacing w:val="0"/>
          <w:kern w:val="0"/>
          <w:sz w:val="32"/>
          <w:szCs w:val="32"/>
          <w:shd w:val="clear" w:color="auto" w:fill="FFFFFF"/>
          <w:lang w:val="en-US" w:eastAsia="zh-CN"/>
        </w:rPr>
      </w:pPr>
      <w:r>
        <w:rPr>
          <w:rFonts w:ascii="黑体" w:eastAsia="黑体" w:cs="黑体" w:hint="eastAsia"/>
          <w:i w:val="0"/>
          <w:caps w:val="0"/>
          <w:smallCaps w:val="0"/>
          <w:snapToGrid w:val="0"/>
          <w:color w:val="auto"/>
          <w:spacing w:val="0"/>
          <w:kern w:val="0"/>
          <w:sz w:val="32"/>
          <w:szCs w:val="32"/>
          <w:shd w:val="clear" w:color="auto" w:fill="FFFFFF"/>
          <w:lang w:val="en-US" w:eastAsia="zh-CN"/>
        </w:rPr>
        <w:t>三、收到和处理政府信息公开申请情况</w:t>
      </w:r>
    </w:p>
    <w:tbl>
      <w:tblPr>
        <w:jc w:val="center"/>
        <w:tblW w:w="9748" w:type="dxa"/>
        <w:tblBorders>
          <w:top w:val="none" w:sz="0" w:space="0" w:color="auto"/>
          <w:left w:val="none" w:sz="0" w:space="0" w:color="auto"/>
          <w:bottom w:val="none" w:sz="0" w:space="0" w:color="auto"/>
          <w:right w:val="none" w:sz="0" w:space="0" w:color="auto"/>
          <w:insideH w:val="outset" w:sz="6" w:space="0" w:color="auto"/>
          <w:insideV w:val="outset" w:sz="6" w:space="0" w:color="auto"/>
        </w:tblBorders>
        <w:shd w:val="clear" w:color="auto" w:fill="auto"/>
        <w:tblCellMar>
          <w:top w:w="0" w:type="dxa"/>
          <w:left w:w="0" w:type="dxa"/>
          <w:bottom w:w="0" w:type="dxa"/>
          <w:right w:w="0" w:type="dxa"/>
        </w:tblCellMar>
      </w:tblPr>
      <w:tblGrid>
        <w:gridCol w:w="767"/>
        <w:gridCol w:w="942"/>
        <w:gridCol w:w="3216"/>
        <w:gridCol w:w="688"/>
        <w:gridCol w:w="689"/>
        <w:gridCol w:w="689"/>
        <w:gridCol w:w="689"/>
        <w:gridCol w:w="689"/>
        <w:gridCol w:w="689"/>
        <w:gridCol w:w="690"/>
      </w:tblGrid>
      <w:tr>
        <w:tc>
          <w:tcPr>
            <w:tcW w:w="4925" w:type="dxa"/>
            <w:gridSpan w:val="3"/>
            <w:vMerge w:val="restart"/>
            <w:tcBorders>
              <w:top w:val="single" w:sz="8" w:space="0" w:color="auto"/>
              <w:left w:val="single" w:sz="8" w:space="0" w:color="auto"/>
              <w:bottom w:val="outset"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楷体" w:eastAsia="楷体" w:cs="楷体" w:hint="eastAsia"/>
                <w:color w:val="auto"/>
                <w:kern w:val="0"/>
                <w:sz w:val="20"/>
                <w:szCs w:val="20"/>
                <w:lang w:val="en-US" w:eastAsia="zh-CN"/>
              </w:rPr>
              <w:t>（本列数据的勾稽关系为：第一项加第二项之和，等于第三项加第四项之和）</w:t>
            </w:r>
          </w:p>
        </w:tc>
        <w:tc>
          <w:tcPr>
            <w:tcW w:w="4823" w:type="dxa"/>
            <w:gridSpan w:val="7"/>
            <w:tcBorders>
              <w:top w:val="single" w:sz="8" w:space="0" w:color="auto"/>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auto"/>
                <w:kern w:val="0"/>
                <w:sz w:val="20"/>
                <w:szCs w:val="20"/>
                <w:lang w:val="en-US" w:eastAsia="zh-CN"/>
              </w:rPr>
              <w:t>申请人情况</w:t>
            </w:r>
          </w:p>
        </w:tc>
      </w:tr>
      <w:tr>
        <w:tc>
          <w:tcPr>
            <w:tcW w:w="4925" w:type="dxa"/>
            <w:gridSpan w:val="3"/>
            <w:vMerge/>
            <w:tcBorders>
              <w:top w:val="single" w:sz="8" w:space="0" w:color="auto"/>
              <w:left w:val="single" w:sz="8" w:space="0" w:color="auto"/>
              <w:bottom w:val="outset" w:sz="8" w:space="0" w:color="auto"/>
              <w:right w:val="single" w:sz="8" w:space="0" w:color="auto"/>
            </w:tcBorders>
            <w:shd w:val="clear" w:color="auto" w:fill="auto"/>
            <w:noWrap/>
            <w:tcMar>
              <w:left w:w="108" w:type="dxa"/>
              <w:right w:w="108" w:type="dxa"/>
            </w:tcMar>
            <w:vAlign w:val="center"/>
          </w:tcPr>
          <w:p/>
        </w:tc>
        <w:tc>
          <w:tcPr>
            <w:tcW w:w="688" w:type="dxa"/>
            <w:vMerge w:val="restart"/>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hAnsi="宋体" w:hint="eastAsia"/>
                <w:sz w:val="24"/>
                <w:szCs w:val="24"/>
              </w:rPr>
            </w:pPr>
            <w:r>
              <w:rPr>
                <w:rFonts w:ascii="宋体" w:eastAsia="宋体" w:cs="宋体" w:hint="eastAsia"/>
                <w:color w:val="auto"/>
                <w:kern w:val="0"/>
                <w:sz w:val="20"/>
                <w:szCs w:val="20"/>
                <w:lang w:val="en-US" w:eastAsia="zh-CN"/>
              </w:rPr>
              <w:t>自然人</w:t>
            </w:r>
          </w:p>
        </w:tc>
        <w:tc>
          <w:tcPr>
            <w:tcW w:w="3445" w:type="dxa"/>
            <w:gridSpan w:val="5"/>
            <w:tcBorders>
              <w:top w:val="single" w:sz="8" w:space="0" w:color="auto"/>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auto"/>
                <w:kern w:val="0"/>
                <w:sz w:val="20"/>
                <w:szCs w:val="20"/>
                <w:lang w:val="en-US" w:eastAsia="zh-CN"/>
              </w:rPr>
              <w:t>法人或其他组织</w:t>
            </w:r>
          </w:p>
        </w:tc>
        <w:tc>
          <w:tcPr>
            <w:tcW w:w="690" w:type="dxa"/>
            <w:vMerge w:val="restart"/>
            <w:tcBorders>
              <w:top w:val="single" w:sz="8" w:space="0" w:color="auto"/>
              <w:left w:val="nil"/>
              <w:bottom w:val="outset"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auto"/>
                <w:kern w:val="0"/>
                <w:sz w:val="20"/>
                <w:szCs w:val="20"/>
                <w:lang w:val="en-US" w:eastAsia="zh-CN"/>
              </w:rPr>
              <w:t>总计</w:t>
            </w:r>
          </w:p>
        </w:tc>
      </w:tr>
      <w:tr>
        <w:tc>
          <w:tcPr>
            <w:tcW w:w="4925" w:type="dxa"/>
            <w:gridSpan w:val="3"/>
            <w:vMerge/>
            <w:tcBorders>
              <w:top w:val="single" w:sz="8" w:space="0" w:color="auto"/>
              <w:left w:val="single" w:sz="8" w:space="0" w:color="auto"/>
              <w:bottom w:val="outset" w:sz="8" w:space="0" w:color="auto"/>
              <w:right w:val="single" w:sz="8" w:space="0" w:color="auto"/>
            </w:tcBorders>
            <w:shd w:val="clear" w:color="auto" w:fill="auto"/>
            <w:noWrap/>
            <w:tcMar>
              <w:left w:w="108" w:type="dxa"/>
              <w:right w:w="108" w:type="dxa"/>
            </w:tcMar>
            <w:vAlign w:val="center"/>
          </w:tcPr>
          <w:p/>
        </w:tc>
        <w:tc>
          <w:tcPr>
            <w:tcW w:w="688" w:type="dxa"/>
            <w:vMerge/>
            <w:tcBorders>
              <w:top w:val="nil"/>
              <w:left w:val="nil"/>
              <w:bottom w:val="single" w:sz="8" w:space="0" w:color="auto"/>
              <w:right w:val="single" w:sz="8" w:space="0" w:color="auto"/>
            </w:tcBorders>
            <w:shd w:val="clear" w:color="auto" w:fill="auto"/>
            <w:noWrap/>
            <w:tcMar>
              <w:left w:w="57" w:type="dxa"/>
              <w:right w:w="57" w:type="dxa"/>
            </w:tcMar>
            <w:vAlign w:val="center"/>
          </w:tcP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hAnsi="宋体" w:hint="eastAsia"/>
                <w:sz w:val="24"/>
                <w:szCs w:val="24"/>
              </w:rPr>
            </w:pPr>
            <w:r>
              <w:rPr>
                <w:rFonts w:ascii="宋体" w:eastAsia="宋体" w:cs="宋体" w:hint="eastAsia"/>
                <w:color w:val="auto"/>
                <w:kern w:val="0"/>
                <w:sz w:val="20"/>
                <w:szCs w:val="20"/>
                <w:lang w:val="en-US" w:eastAsia="zh-CN"/>
              </w:rPr>
              <w:t>商业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auto"/>
                <w:kern w:val="0"/>
                <w:sz w:val="20"/>
                <w:szCs w:val="20"/>
                <w:lang w:val="en-US" w:eastAsia="zh-CN"/>
              </w:rPr>
              <w:t>企业</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auto"/>
                <w:kern w:val="0"/>
                <w:sz w:val="20"/>
                <w:szCs w:val="20"/>
                <w:lang w:val="en-US" w:eastAsia="zh-CN"/>
              </w:rPr>
              <w:t>科研</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auto"/>
                <w:kern w:val="0"/>
                <w:sz w:val="20"/>
                <w:szCs w:val="20"/>
                <w:lang w:val="en-US" w:eastAsia="zh-CN"/>
              </w:rPr>
              <w:t>机构</w:t>
            </w:r>
          </w:p>
        </w:tc>
        <w:tc>
          <w:tcPr>
            <w:tcW w:w="689" w:type="dxa"/>
            <w:tcBorders>
              <w:top w:val="single" w:sz="8" w:space="0" w:color="auto"/>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auto"/>
                <w:kern w:val="0"/>
                <w:sz w:val="20"/>
                <w:szCs w:val="20"/>
                <w:lang w:val="en-US" w:eastAsia="zh-CN"/>
              </w:rPr>
              <w:t>社会公益组织</w:t>
            </w:r>
          </w:p>
        </w:tc>
        <w:tc>
          <w:tcPr>
            <w:tcW w:w="689" w:type="dxa"/>
            <w:tcBorders>
              <w:top w:val="single" w:sz="8" w:space="0" w:color="auto"/>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auto"/>
                <w:kern w:val="0"/>
                <w:sz w:val="20"/>
                <w:szCs w:val="20"/>
                <w:lang w:val="en-US" w:eastAsia="zh-CN"/>
              </w:rPr>
              <w:t>法律服务机构</w:t>
            </w:r>
          </w:p>
        </w:tc>
        <w:tc>
          <w:tcPr>
            <w:tcW w:w="689" w:type="dxa"/>
            <w:tcBorders>
              <w:top w:val="single" w:sz="8" w:space="0" w:color="auto"/>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auto"/>
                <w:kern w:val="0"/>
                <w:sz w:val="20"/>
                <w:szCs w:val="20"/>
                <w:lang w:val="en-US" w:eastAsia="zh-CN"/>
              </w:rPr>
              <w:t>其他</w:t>
            </w:r>
          </w:p>
        </w:tc>
        <w:tc>
          <w:tcPr>
            <w:tcW w:w="690" w:type="dxa"/>
            <w:vMerge/>
            <w:tcBorders>
              <w:top w:val="single" w:sz="8" w:space="0" w:color="auto"/>
              <w:left w:val="nil"/>
              <w:bottom w:val="outset" w:sz="8" w:space="0" w:color="auto"/>
              <w:right w:val="single" w:sz="8" w:space="0" w:color="auto"/>
            </w:tcBorders>
            <w:shd w:val="clear" w:color="auto" w:fill="auto"/>
            <w:noWrap/>
            <w:tcMar>
              <w:left w:w="57" w:type="dxa"/>
              <w:right w:w="57" w:type="dxa"/>
            </w:tcMar>
            <w:vAlign w:val="center"/>
          </w:tcPr>
          <w:p/>
        </w:tc>
      </w:tr>
      <w:tr>
        <w:tc>
          <w:tcPr>
            <w:tcW w:w="4925" w:type="dxa"/>
            <w:gridSpan w:val="3"/>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一、本年新收政府信息公开申请数量</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lang w:val="en-US"/>
              </w:rPr>
            </w:pPr>
            <w:r>
              <w:rPr>
                <w:rFonts w:ascii="Calibri" w:eastAsia="仿宋_GB2312" w:cs="Calibri" w:hAnsi="Calibri"/>
                <w:color w:val="auto"/>
                <w:kern w:val="0"/>
                <w:sz w:val="20"/>
                <w:szCs w:val="20"/>
                <w:lang w:val="en-US" w:eastAsia="zh-CN"/>
              </w:rPr>
              <w:t> 2</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1</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3</w:t>
            </w:r>
          </w:p>
        </w:tc>
      </w:tr>
      <w:tr>
        <w:tc>
          <w:tcPr>
            <w:tcW w:w="4925" w:type="dxa"/>
            <w:gridSpan w:val="3"/>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cs="宋体" w:hint="eastAsia"/>
                <w:color w:val="auto"/>
                <w:kern w:val="0"/>
                <w:sz w:val="20"/>
                <w:szCs w:val="20"/>
                <w:lang w:val="en-US" w:eastAsia="zh-CN"/>
              </w:rPr>
              <w:t>二、上年结转政府信息公开申请数量</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val="restart"/>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cs="宋体" w:hint="eastAsia"/>
                <w:color w:val="auto"/>
                <w:kern w:val="0"/>
                <w:sz w:val="20"/>
                <w:szCs w:val="20"/>
                <w:lang w:val="en-US" w:eastAsia="zh-CN"/>
              </w:rPr>
              <w:t>三、本年度办理结果</w:t>
            </w:r>
          </w:p>
        </w:tc>
        <w:tc>
          <w:tcPr>
            <w:tcW w:w="4158" w:type="dxa"/>
            <w:gridSpan w:val="2"/>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cs="宋体" w:hint="eastAsia"/>
                <w:color w:val="auto"/>
                <w:kern w:val="0"/>
                <w:sz w:val="20"/>
                <w:szCs w:val="20"/>
                <w:lang w:val="en-US" w:eastAsia="zh-CN"/>
              </w:rPr>
              <w:t>（一）予以公开</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color w:val="auto"/>
                <w:kern w:val="2"/>
                <w:sz w:val="32"/>
                <w:szCs w:val="32"/>
                <w:lang w:val="en-US" w:eastAsia="zh-CN" w:bidi="ar-SA"/>
              </w:rPr>
            </w:pPr>
            <w:r>
              <w:rPr>
                <w:rFonts w:ascii="Calibri" w:eastAsia="仿宋_GB2312" w:cs="Calibri" w:hAnsi="Calibri"/>
                <w:color w:val="auto"/>
                <w:kern w:val="0"/>
                <w:sz w:val="20"/>
                <w:szCs w:val="20"/>
                <w:lang w:val="en-US" w:eastAsia="zh-CN"/>
              </w:rPr>
              <w:t> 1</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single" w:sz="8" w:space="0" w:color="auto"/>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1</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4158" w:type="dxa"/>
            <w:gridSpan w:val="2"/>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（二）部分公开</w:t>
            </w:r>
            <w:r>
              <w:rPr>
                <w:rFonts w:ascii="楷体" w:eastAsia="楷体" w:cs="楷体"/>
                <w:color w:val="auto"/>
                <w:kern w:val="0"/>
                <w:sz w:val="20"/>
                <w:szCs w:val="20"/>
                <w:lang w:val="en-US" w:eastAsia="zh-CN"/>
              </w:rPr>
              <w:t>（区分处理的，只计这一情形，不计其他情形）</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color w:val="auto"/>
                <w:kern w:val="2"/>
                <w:sz w:val="32"/>
                <w:szCs w:val="32"/>
                <w:lang w:val="en-US" w:eastAsia="zh-CN" w:bidi="ar-SA"/>
              </w:rPr>
            </w:pPr>
            <w:r>
              <w:rPr>
                <w:rFonts w:ascii="Calibri" w:eastAsia="仿宋_GB2312" w:cs="Calibri" w:hAnsi="Calibri"/>
                <w:color w:val="auto"/>
                <w:kern w:val="0"/>
                <w:sz w:val="20"/>
                <w:szCs w:val="20"/>
                <w:lang w:val="en-US" w:eastAsia="zh-CN"/>
              </w:rPr>
              <w:t> 1</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0</w:t>
            </w:r>
            <w:bookmarkStart w:id="0" w:name="_GoBack"/>
            <w:bookmarkEnd w:id="0"/>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val="restart"/>
            <w:tcBorders>
              <w:top w:val="nil"/>
              <w:left w:val="nil"/>
              <w:bottom w:val="outset"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（三）不予公开</w:t>
            </w:r>
          </w:p>
        </w:tc>
        <w:tc>
          <w:tcPr>
            <w:tcW w:w="3216"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cs="宋体" w:hint="eastAsia"/>
                <w:color w:val="auto"/>
                <w:kern w:val="0"/>
                <w:sz w:val="20"/>
                <w:szCs w:val="20"/>
                <w:lang w:val="en-US" w:eastAsia="zh-CN"/>
              </w:rPr>
              <w:t>1.属于国家秘密</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single" w:sz="8" w:space="0" w:color="auto"/>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tcBorders>
              <w:top w:val="nil"/>
              <w:left w:val="nil"/>
              <w:bottom w:val="outset" w:sz="8" w:space="0" w:color="auto"/>
              <w:right w:val="single" w:sz="8" w:space="0" w:color="auto"/>
            </w:tcBorders>
            <w:shd w:val="clear" w:color="auto" w:fill="auto"/>
            <w:noWrap/>
            <w:tcMar>
              <w:left w:w="57" w:type="dxa"/>
              <w:right w:w="57" w:type="dxa"/>
            </w:tcMar>
            <w:vAlign w:val="center"/>
          </w:tcPr>
          <w:p/>
        </w:tc>
        <w:tc>
          <w:tcPr>
            <w:tcW w:w="3216"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2.其他法律行政法规禁止公开</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tcBorders>
              <w:top w:val="nil"/>
              <w:left w:val="nil"/>
              <w:bottom w:val="outset" w:sz="8" w:space="0" w:color="auto"/>
              <w:right w:val="single" w:sz="8" w:space="0" w:color="auto"/>
            </w:tcBorders>
            <w:shd w:val="clear" w:color="auto" w:fill="auto"/>
            <w:noWrap/>
            <w:tcMar>
              <w:left w:w="57" w:type="dxa"/>
              <w:right w:w="57" w:type="dxa"/>
            </w:tcMar>
            <w:vAlign w:val="center"/>
          </w:tcPr>
          <w:p/>
        </w:tc>
        <w:tc>
          <w:tcPr>
            <w:tcW w:w="3216"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3.危及“三安全一稳定”</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tcBorders>
              <w:top w:val="nil"/>
              <w:left w:val="nil"/>
              <w:bottom w:val="outset" w:sz="8" w:space="0" w:color="auto"/>
              <w:right w:val="single" w:sz="8" w:space="0" w:color="auto"/>
            </w:tcBorders>
            <w:shd w:val="clear" w:color="auto" w:fill="auto"/>
            <w:noWrap/>
            <w:tcMar>
              <w:left w:w="57" w:type="dxa"/>
              <w:right w:w="57" w:type="dxa"/>
            </w:tcMar>
            <w:vAlign w:val="center"/>
          </w:tcPr>
          <w:p/>
        </w:tc>
        <w:tc>
          <w:tcPr>
            <w:tcW w:w="3216"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4.保护第三方合法权益</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tcBorders>
              <w:top w:val="nil"/>
              <w:left w:val="nil"/>
              <w:bottom w:val="outset" w:sz="8" w:space="0" w:color="auto"/>
              <w:right w:val="single" w:sz="8" w:space="0" w:color="auto"/>
            </w:tcBorders>
            <w:shd w:val="clear" w:color="auto" w:fill="auto"/>
            <w:noWrap/>
            <w:tcMar>
              <w:left w:w="57" w:type="dxa"/>
              <w:right w:w="57" w:type="dxa"/>
            </w:tcMar>
            <w:vAlign w:val="center"/>
          </w:tcPr>
          <w:p/>
        </w:tc>
        <w:tc>
          <w:tcPr>
            <w:tcW w:w="3216"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5.属于三类内部事务信息</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tcBorders>
              <w:top w:val="nil"/>
              <w:left w:val="nil"/>
              <w:bottom w:val="outset" w:sz="8" w:space="0" w:color="auto"/>
              <w:right w:val="single" w:sz="8" w:space="0" w:color="auto"/>
            </w:tcBorders>
            <w:shd w:val="clear" w:color="auto" w:fill="auto"/>
            <w:noWrap/>
            <w:tcMar>
              <w:left w:w="57" w:type="dxa"/>
              <w:right w:w="57" w:type="dxa"/>
            </w:tcMar>
            <w:vAlign w:val="center"/>
          </w:tcPr>
          <w:p/>
        </w:tc>
        <w:tc>
          <w:tcPr>
            <w:tcW w:w="3216"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6.属于四类过程性信息</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tcBorders>
              <w:top w:val="nil"/>
              <w:left w:val="nil"/>
              <w:bottom w:val="outset" w:sz="8" w:space="0" w:color="auto"/>
              <w:right w:val="single" w:sz="8" w:space="0" w:color="auto"/>
            </w:tcBorders>
            <w:shd w:val="clear" w:color="auto" w:fill="auto"/>
            <w:noWrap/>
            <w:tcMar>
              <w:left w:w="57" w:type="dxa"/>
              <w:right w:w="57" w:type="dxa"/>
            </w:tcMar>
            <w:vAlign w:val="center"/>
          </w:tcPr>
          <w:p/>
        </w:tc>
        <w:tc>
          <w:tcPr>
            <w:tcW w:w="3216"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7.属于行政执法案卷</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tcBorders>
              <w:top w:val="nil"/>
              <w:left w:val="nil"/>
              <w:bottom w:val="outset" w:sz="8" w:space="0" w:color="auto"/>
              <w:right w:val="single" w:sz="8" w:space="0" w:color="auto"/>
            </w:tcBorders>
            <w:shd w:val="clear" w:color="auto" w:fill="auto"/>
            <w:noWrap/>
            <w:tcMar>
              <w:left w:w="57" w:type="dxa"/>
              <w:right w:w="57" w:type="dxa"/>
            </w:tcMar>
            <w:vAlign w:val="center"/>
          </w:tcPr>
          <w:p/>
        </w:tc>
        <w:tc>
          <w:tcPr>
            <w:tcW w:w="3216"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8.属于行政查询事项</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val="restart"/>
            <w:tcBorders>
              <w:top w:val="nil"/>
              <w:left w:val="nil"/>
              <w:bottom w:val="outset"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（四）无法提供</w:t>
            </w:r>
          </w:p>
        </w:tc>
        <w:tc>
          <w:tcPr>
            <w:tcW w:w="3216"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cs="宋体" w:hint="eastAsia"/>
                <w:color w:val="auto"/>
                <w:kern w:val="0"/>
                <w:sz w:val="20"/>
                <w:szCs w:val="20"/>
                <w:lang w:val="en-US" w:eastAsia="zh-CN"/>
              </w:rPr>
              <w:t>1.本机关不掌握相关政府信息</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1</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1</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2</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tcBorders>
              <w:top w:val="nil"/>
              <w:left w:val="nil"/>
              <w:bottom w:val="outset" w:sz="8" w:space="0" w:color="auto"/>
              <w:right w:val="single" w:sz="8" w:space="0" w:color="auto"/>
            </w:tcBorders>
            <w:shd w:val="clear" w:color="auto" w:fill="auto"/>
            <w:noWrap/>
            <w:tcMar>
              <w:left w:w="57" w:type="dxa"/>
              <w:right w:w="57" w:type="dxa"/>
            </w:tcMar>
            <w:vAlign w:val="center"/>
          </w:tcPr>
          <w:p/>
        </w:tc>
        <w:tc>
          <w:tcPr>
            <w:tcW w:w="3216"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2.没有现成信息需要另行制作</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tcBorders>
              <w:top w:val="nil"/>
              <w:left w:val="nil"/>
              <w:bottom w:val="outset" w:sz="8" w:space="0" w:color="auto"/>
              <w:right w:val="single" w:sz="8" w:space="0" w:color="auto"/>
            </w:tcBorders>
            <w:shd w:val="clear" w:color="auto" w:fill="auto"/>
            <w:noWrap/>
            <w:tcMar>
              <w:left w:w="57" w:type="dxa"/>
              <w:right w:w="57" w:type="dxa"/>
            </w:tcMar>
            <w:vAlign w:val="center"/>
          </w:tcPr>
          <w:p/>
        </w:tc>
        <w:tc>
          <w:tcPr>
            <w:tcW w:w="3216"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3.补正后申请内容仍不明确</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val="restart"/>
            <w:tcBorders>
              <w:top w:val="nil"/>
              <w:left w:val="nil"/>
              <w:bottom w:val="outset"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（五）不予处理</w:t>
            </w:r>
          </w:p>
        </w:tc>
        <w:tc>
          <w:tcPr>
            <w:tcW w:w="3216"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cs="宋体" w:hint="eastAsia"/>
                <w:color w:val="auto"/>
                <w:kern w:val="0"/>
                <w:sz w:val="20"/>
                <w:szCs w:val="20"/>
                <w:lang w:val="en-US" w:eastAsia="zh-CN"/>
              </w:rPr>
              <w:t>1.信访举报投诉类申请</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tcBorders>
              <w:top w:val="nil"/>
              <w:left w:val="nil"/>
              <w:bottom w:val="outset" w:sz="8" w:space="0" w:color="auto"/>
              <w:right w:val="single" w:sz="8" w:space="0" w:color="auto"/>
            </w:tcBorders>
            <w:shd w:val="clear" w:color="auto" w:fill="auto"/>
            <w:noWrap/>
            <w:tcMar>
              <w:left w:w="57" w:type="dxa"/>
              <w:right w:w="57" w:type="dxa"/>
            </w:tcMar>
            <w:vAlign w:val="center"/>
          </w:tcPr>
          <w:p/>
        </w:tc>
        <w:tc>
          <w:tcPr>
            <w:tcW w:w="3216"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2.重复申请</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tcBorders>
              <w:top w:val="nil"/>
              <w:left w:val="nil"/>
              <w:bottom w:val="outset" w:sz="8" w:space="0" w:color="auto"/>
              <w:right w:val="single" w:sz="8" w:space="0" w:color="auto"/>
            </w:tcBorders>
            <w:shd w:val="clear" w:color="auto" w:fill="auto"/>
            <w:noWrap/>
            <w:tcMar>
              <w:left w:w="57" w:type="dxa"/>
              <w:right w:w="57" w:type="dxa"/>
            </w:tcMar>
            <w:vAlign w:val="center"/>
          </w:tcPr>
          <w:p/>
        </w:tc>
        <w:tc>
          <w:tcPr>
            <w:tcW w:w="3216"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3.要求提供公开出版物</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tcBorders>
              <w:top w:val="nil"/>
              <w:left w:val="nil"/>
              <w:bottom w:val="outset" w:sz="8" w:space="0" w:color="auto"/>
              <w:right w:val="single" w:sz="8" w:space="0" w:color="auto"/>
            </w:tcBorders>
            <w:shd w:val="clear" w:color="auto" w:fill="auto"/>
            <w:noWrap/>
            <w:tcMar>
              <w:left w:w="57" w:type="dxa"/>
              <w:right w:w="57" w:type="dxa"/>
            </w:tcMar>
            <w:vAlign w:val="center"/>
          </w:tcPr>
          <w:p/>
        </w:tc>
        <w:tc>
          <w:tcPr>
            <w:tcW w:w="3216"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4.无正当理由大量反复申请</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rPr>
          <w:trHeight w:val="779"/>
        </w:trP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tcBorders>
              <w:top w:val="nil"/>
              <w:left w:val="nil"/>
              <w:bottom w:val="outset" w:sz="8" w:space="0" w:color="auto"/>
              <w:right w:val="single" w:sz="8" w:space="0" w:color="auto"/>
            </w:tcBorders>
            <w:shd w:val="clear" w:color="auto" w:fill="auto"/>
            <w:noWrap/>
            <w:tcMar>
              <w:left w:w="57" w:type="dxa"/>
              <w:right w:w="57" w:type="dxa"/>
            </w:tcMar>
            <w:vAlign w:val="center"/>
          </w:tcPr>
          <w:p/>
        </w:tc>
        <w:tc>
          <w:tcPr>
            <w:tcW w:w="3216" w:type="dxa"/>
            <w:tcBorders>
              <w:top w:val="nil"/>
              <w:left w:val="nil"/>
              <w:bottom w:val="outset"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both"/>
              <w:rPr>
                <w:rFonts w:ascii="宋体" w:hAnsi="宋体" w:hint="eastAsia"/>
                <w:sz w:val="24"/>
                <w:szCs w:val="24"/>
              </w:rPr>
            </w:pPr>
            <w:r>
              <w:rPr>
                <w:rFonts w:ascii="宋体" w:eastAsia="宋体" w:cs="宋体" w:hint="eastAsia"/>
                <w:color w:val="auto"/>
                <w:kern w:val="0"/>
                <w:sz w:val="20"/>
                <w:szCs w:val="20"/>
                <w:lang w:val="en-US" w:eastAsia="zh-CN"/>
              </w:rPr>
              <w:t>5.要求行政机关确认或重新出具已获取信息</w:t>
            </w:r>
          </w:p>
        </w:tc>
        <w:tc>
          <w:tcPr>
            <w:tcW w:w="688" w:type="dxa"/>
            <w:tcBorders>
              <w:top w:val="nil"/>
              <w:left w:val="nil"/>
              <w:bottom w:val="outset"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outset"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outset"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outset"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outset"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outset"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outset"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val="restart"/>
            <w:tcBorders>
              <w:top w:val="outset" w:sz="8" w:space="0" w:color="auto"/>
              <w:left w:val="nil"/>
              <w:bottom w:val="outset"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（六）其他处理</w:t>
            </w:r>
          </w:p>
        </w:tc>
        <w:tc>
          <w:tcPr>
            <w:tcW w:w="3216"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both"/>
            </w:pPr>
            <w:r>
              <w:rPr>
                <w:rFonts w:ascii="宋体" w:eastAsia="宋体" w:cs="宋体" w:hint="eastAsia"/>
                <w:color w:val="auto"/>
                <w:kern w:val="0"/>
                <w:sz w:val="20"/>
                <w:szCs w:val="20"/>
                <w:lang w:val="en-US" w:eastAsia="zh-CN"/>
              </w:rPr>
              <w:t>1.申请人无正当理由逾期不补正、行政机关不再处理其政府信息公开申请</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tcBorders>
              <w:top w:val="outset" w:sz="8" w:space="0" w:color="auto"/>
              <w:left w:val="nil"/>
              <w:bottom w:val="outset" w:sz="8" w:space="0" w:color="auto"/>
              <w:right w:val="single" w:sz="8" w:space="0" w:color="auto"/>
            </w:tcBorders>
            <w:shd w:val="clear" w:color="auto" w:fill="auto"/>
            <w:noWrap/>
            <w:tcMar>
              <w:left w:w="57" w:type="dxa"/>
              <w:right w:w="57" w:type="dxa"/>
            </w:tcMar>
            <w:vAlign w:val="center"/>
          </w:tcPr>
          <w:p/>
        </w:tc>
        <w:tc>
          <w:tcPr>
            <w:tcW w:w="3216"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both"/>
              <w:rPr>
                <w:rFonts w:ascii="宋体" w:hAnsi="宋体" w:hint="eastAsia"/>
                <w:sz w:val="24"/>
                <w:szCs w:val="24"/>
              </w:rPr>
            </w:pPr>
            <w:r>
              <w:rPr>
                <w:rFonts w:ascii="宋体" w:eastAsia="宋体" w:cs="宋体" w:hint="eastAsia"/>
                <w:color w:val="auto"/>
                <w:kern w:val="0"/>
                <w:sz w:val="20"/>
                <w:szCs w:val="20"/>
                <w:lang w:val="en-US" w:eastAsia="zh-CN"/>
              </w:rPr>
              <w:t>2.申请人逾期未按收费通知要求缴纳费用、行政机关不再处理其政府信息公开申请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tcBorders>
              <w:top w:val="outset" w:sz="8" w:space="0" w:color="auto"/>
              <w:left w:val="nil"/>
              <w:bottom w:val="outset" w:sz="8" w:space="0" w:color="auto"/>
              <w:right w:val="single" w:sz="8" w:space="0" w:color="auto"/>
            </w:tcBorders>
            <w:shd w:val="clear" w:color="auto" w:fill="auto"/>
            <w:noWrap/>
            <w:tcMar>
              <w:left w:w="57" w:type="dxa"/>
              <w:right w:w="57" w:type="dxa"/>
            </w:tcMar>
            <w:vAlign w:val="center"/>
          </w:tcPr>
          <w:p/>
        </w:tc>
        <w:tc>
          <w:tcPr>
            <w:tcW w:w="3216"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3.其他</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4158" w:type="dxa"/>
            <w:gridSpan w:val="2"/>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（七）总计</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2</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1</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3</w:t>
            </w:r>
          </w:p>
        </w:tc>
      </w:tr>
      <w:tr>
        <w:tc>
          <w:tcPr>
            <w:tcW w:w="4925" w:type="dxa"/>
            <w:gridSpan w:val="3"/>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cs="宋体" w:hint="eastAsia"/>
                <w:color w:val="auto"/>
                <w:kern w:val="0"/>
                <w:sz w:val="20"/>
                <w:szCs w:val="20"/>
                <w:lang w:val="en-US" w:eastAsia="zh-CN"/>
              </w:rPr>
              <w:t>四、结转下年度继续办理</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hAnsi="宋体" w:hint="eastAsia"/>
                <w:sz w:val="24"/>
                <w:szCs w:val="24"/>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bl>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Lines="50" w:before="290" w:beforeAutospacing="0" w:after="0" w:afterAutospacing="0" w:line="560" w:lineRule="exact"/>
        <w:ind w:right="0" w:firstLineChars="200" w:firstLine="595"/>
        <w:jc w:val="both"/>
        <w:textAlignment w:val="auto"/>
        <w:rPr>
          <w:rFonts w:ascii="黑体" w:eastAsia="黑体" w:cs="黑体" w:hint="eastAsia"/>
          <w:i w:val="0"/>
          <w:caps w:val="0"/>
          <w:smallCaps w:val="0"/>
          <w:snapToGrid w:val="0"/>
          <w:color w:val="auto"/>
          <w:spacing w:val="0"/>
          <w:kern w:val="0"/>
          <w:sz w:val="32"/>
          <w:szCs w:val="32"/>
          <w:shd w:val="clear" w:color="auto" w:fill="FFFFFF"/>
          <w:lang w:val="en-US" w:eastAsia="zh-CN"/>
        </w:rPr>
      </w:pPr>
      <w:r>
        <w:rPr>
          <w:rFonts w:ascii="黑体" w:eastAsia="黑体" w:cs="黑体" w:hint="eastAsia"/>
          <w:i w:val="0"/>
          <w:caps w:val="0"/>
          <w:smallCaps w:val="0"/>
          <w:snapToGrid w:val="0"/>
          <w:color w:val="auto"/>
          <w:spacing w:val="0"/>
          <w:kern w:val="0"/>
          <w:sz w:val="32"/>
          <w:szCs w:val="32"/>
          <w:shd w:val="clear" w:color="auto" w:fill="FFFFFF"/>
          <w:lang w:val="en-US" w:eastAsia="zh-CN"/>
        </w:rPr>
        <w:t>四、政府信息公开行政复议、行政诉讼情况</w:t>
      </w:r>
    </w:p>
    <w:tbl>
      <w:tblPr>
        <w:jc w:val="center"/>
        <w:tblW w:w="9748" w:type="dxa"/>
        <w:tblBorders>
          <w:top w:val="none" w:sz="0" w:space="0" w:color="auto"/>
          <w:left w:val="none" w:sz="0" w:space="0" w:color="auto"/>
          <w:bottom w:val="none" w:sz="0" w:space="0" w:color="auto"/>
          <w:right w:val="none" w:sz="0" w:space="0" w:color="auto"/>
          <w:insideH w:val="outset" w:sz="6" w:space="0" w:color="auto"/>
          <w:insideV w:val="outset" w:sz="6" w:space="0" w:color="auto"/>
        </w:tblBorders>
        <w:shd w:val="clear" w:color="auto" w:fill="auto"/>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c>
          <w:tcPr>
            <w:tcW w:w="3210" w:type="dxa"/>
            <w:gridSpan w:val="5"/>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auto"/>
                <w:kern w:val="0"/>
                <w:sz w:val="20"/>
                <w:szCs w:val="20"/>
                <w:lang w:val="en-US" w:eastAsia="zh-CN"/>
              </w:rPr>
              <w:t>行政复议</w:t>
            </w:r>
          </w:p>
        </w:tc>
        <w:tc>
          <w:tcPr>
            <w:tcW w:w="6428" w:type="dxa"/>
            <w:gridSpan w:val="10"/>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auto"/>
                <w:kern w:val="0"/>
                <w:sz w:val="20"/>
                <w:szCs w:val="20"/>
                <w:lang w:val="en-US" w:eastAsia="zh-CN"/>
              </w:rPr>
              <w:t>行政诉讼</w:t>
            </w:r>
          </w:p>
        </w:tc>
      </w:tr>
      <w:tr>
        <w:tc>
          <w:tcPr>
            <w:tcW w:w="642" w:type="dxa"/>
            <w:vMerge w:val="restart"/>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auto"/>
                <w:kern w:val="0"/>
                <w:sz w:val="20"/>
                <w:szCs w:val="20"/>
                <w:lang w:val="en-US" w:eastAsia="zh-CN"/>
              </w:rPr>
              <w:t>结果维持</w:t>
            </w:r>
          </w:p>
        </w:tc>
        <w:tc>
          <w:tcPr>
            <w:tcW w:w="642" w:type="dxa"/>
            <w:vMerge w:val="restart"/>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auto"/>
                <w:kern w:val="0"/>
                <w:sz w:val="20"/>
                <w:szCs w:val="20"/>
                <w:lang w:val="en-US" w:eastAsia="zh-CN"/>
              </w:rPr>
              <w:t>结果</w:t>
              <w:br/>
              <w:t>纠正</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auto"/>
                <w:kern w:val="0"/>
                <w:sz w:val="20"/>
                <w:szCs w:val="20"/>
                <w:lang w:val="en-US" w:eastAsia="zh-CN"/>
              </w:rPr>
              <w:t>其他</w:t>
              <w:br/>
              <w:t>结果</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auto"/>
                <w:kern w:val="0"/>
                <w:sz w:val="20"/>
                <w:szCs w:val="20"/>
                <w:lang w:val="en-US" w:eastAsia="zh-CN"/>
              </w:rPr>
              <w:t>尚未</w:t>
              <w:br/>
              <w:t>审结</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auto"/>
                <w:kern w:val="0"/>
                <w:sz w:val="20"/>
                <w:szCs w:val="20"/>
                <w:lang w:val="en-US" w:eastAsia="zh-CN"/>
              </w:rPr>
              <w:t>总计</w:t>
            </w:r>
          </w:p>
        </w:tc>
        <w:tc>
          <w:tcPr>
            <w:tcW w:w="3213" w:type="dxa"/>
            <w:gridSpan w:val="5"/>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auto"/>
                <w:kern w:val="0"/>
                <w:sz w:val="20"/>
                <w:szCs w:val="20"/>
                <w:lang w:val="en-US" w:eastAsia="zh-CN"/>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auto"/>
                <w:kern w:val="0"/>
                <w:sz w:val="20"/>
                <w:szCs w:val="20"/>
                <w:lang w:val="en-US" w:eastAsia="zh-CN"/>
              </w:rPr>
              <w:t>复议后起诉</w:t>
            </w:r>
          </w:p>
        </w:tc>
      </w:tr>
      <w:tr>
        <w:tc>
          <w:tcPr>
            <w:tcW w:w="642" w:type="dxa"/>
            <w:vMerge/>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tc>
        <w:tc>
          <w:tcPr>
            <w:tcW w:w="642" w:type="dxa"/>
            <w:vMerge/>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tc>
        <w:tc>
          <w:tcPr>
            <w:tcW w:w="642" w:type="dxa"/>
            <w:vMerge/>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tc>
        <w:tc>
          <w:tcPr>
            <w:tcW w:w="642" w:type="dxa"/>
            <w:vMerge/>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tc>
        <w:tc>
          <w:tcPr>
            <w:tcW w:w="642" w:type="dxa"/>
            <w:vMerge/>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tc>
        <w:tc>
          <w:tcPr>
            <w:tcW w:w="642"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hAnsi="宋体" w:hint="eastAsia"/>
                <w:sz w:val="24"/>
                <w:szCs w:val="24"/>
              </w:rPr>
            </w:pPr>
            <w:r>
              <w:rPr>
                <w:rFonts w:ascii="宋体" w:eastAsia="宋体" w:cs="宋体" w:hint="eastAsia"/>
                <w:color w:val="auto"/>
                <w:kern w:val="0"/>
                <w:sz w:val="20"/>
                <w:szCs w:val="20"/>
                <w:lang w:val="en-US" w:eastAsia="zh-CN"/>
              </w:rPr>
              <w:t>结果</w:t>
              <w:br/>
              <w:t>维持</w:t>
            </w:r>
          </w:p>
        </w:tc>
        <w:tc>
          <w:tcPr>
            <w:tcW w:w="642"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auto"/>
                <w:kern w:val="0"/>
                <w:sz w:val="20"/>
                <w:szCs w:val="20"/>
                <w:lang w:val="en-US" w:eastAsia="zh-CN"/>
              </w:rPr>
              <w:t>结果</w:t>
              <w:br/>
              <w:t>纠正</w:t>
            </w:r>
          </w:p>
        </w:tc>
        <w:tc>
          <w:tcPr>
            <w:tcW w:w="643" w:type="dxa"/>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auto"/>
                <w:kern w:val="0"/>
                <w:sz w:val="20"/>
                <w:szCs w:val="20"/>
                <w:lang w:val="en-US" w:eastAsia="zh-CN"/>
              </w:rPr>
              <w:t>其他</w:t>
              <w:br/>
              <w:t>结果</w:t>
            </w:r>
          </w:p>
        </w:tc>
        <w:tc>
          <w:tcPr>
            <w:tcW w:w="643" w:type="dxa"/>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auto"/>
                <w:kern w:val="0"/>
                <w:sz w:val="20"/>
                <w:szCs w:val="20"/>
                <w:lang w:val="en-US" w:eastAsia="zh-CN"/>
              </w:rPr>
              <w:t>尚未</w:t>
              <w:br/>
              <w:t>审结</w:t>
            </w:r>
          </w:p>
        </w:tc>
        <w:tc>
          <w:tcPr>
            <w:tcW w:w="643" w:type="dxa"/>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000000"/>
                <w:kern w:val="0"/>
                <w:sz w:val="20"/>
                <w:szCs w:val="20"/>
                <w:lang w:val="en-US" w:eastAsia="zh-CN"/>
              </w:rPr>
              <w:t>总计</w:t>
            </w:r>
          </w:p>
        </w:tc>
        <w:tc>
          <w:tcPr>
            <w:tcW w:w="643" w:type="dxa"/>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auto"/>
                <w:kern w:val="0"/>
                <w:sz w:val="20"/>
                <w:szCs w:val="20"/>
                <w:lang w:val="en-US" w:eastAsia="zh-CN"/>
              </w:rPr>
              <w:t>结果</w:t>
              <w:br/>
              <w:t>维持</w:t>
            </w:r>
          </w:p>
        </w:tc>
        <w:tc>
          <w:tcPr>
            <w:tcW w:w="643" w:type="dxa"/>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auto"/>
                <w:kern w:val="0"/>
                <w:sz w:val="20"/>
                <w:szCs w:val="20"/>
                <w:lang w:val="en-US" w:eastAsia="zh-CN"/>
              </w:rPr>
              <w:t>结果</w:t>
              <w:br/>
              <w:t>纠正</w:t>
            </w:r>
          </w:p>
        </w:tc>
        <w:tc>
          <w:tcPr>
            <w:tcW w:w="643" w:type="dxa"/>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000000"/>
                <w:kern w:val="0"/>
                <w:sz w:val="20"/>
                <w:szCs w:val="20"/>
                <w:lang w:val="en-US" w:eastAsia="zh-CN"/>
              </w:rPr>
              <w:t>其他</w:t>
              <w:br/>
              <w:t>结果</w:t>
            </w:r>
          </w:p>
        </w:tc>
        <w:tc>
          <w:tcPr>
            <w:tcW w:w="643" w:type="dxa"/>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auto"/>
                <w:kern w:val="0"/>
                <w:sz w:val="20"/>
                <w:szCs w:val="20"/>
                <w:lang w:val="en-US" w:eastAsia="zh-CN"/>
              </w:rPr>
              <w:t>尚未</w:t>
              <w:br/>
              <w:t>审结</w:t>
            </w:r>
          </w:p>
        </w:tc>
        <w:tc>
          <w:tcPr>
            <w:tcW w:w="643" w:type="dxa"/>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000000"/>
                <w:kern w:val="0"/>
                <w:sz w:val="20"/>
                <w:szCs w:val="20"/>
                <w:lang w:val="en-US" w:eastAsia="zh-CN"/>
              </w:rPr>
              <w:t>总计</w:t>
            </w:r>
          </w:p>
        </w:tc>
      </w:tr>
      <w:tr>
        <w:trPr>
          <w:trHeight w:val="672"/>
        </w:trPr>
        <w:tc>
          <w:tcPr>
            <w:tcW w:w="642"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42"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3</w:t>
            </w:r>
          </w:p>
        </w:tc>
        <w:tc>
          <w:tcPr>
            <w:tcW w:w="642"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42"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42"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3</w:t>
            </w:r>
          </w:p>
        </w:tc>
        <w:tc>
          <w:tcPr>
            <w:tcW w:w="642"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42"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4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4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4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4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4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4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43"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4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hAnsi="宋体" w:hint="eastAsia"/>
                <w:sz w:val="24"/>
                <w:szCs w:val="24"/>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bl>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Lines="50" w:before="290" w:beforeAutospacing="0" w:after="0" w:afterAutospacing="0" w:line="560" w:lineRule="exact"/>
        <w:ind w:left="0" w:right="0"/>
        <w:jc w:val="both"/>
        <w:textAlignment w:val="auto"/>
        <w:rPr>
          <w:rFonts w:ascii="黑体" w:eastAsia="黑体" w:cs="黑体" w:hint="eastAsia"/>
          <w:b w:val="0"/>
          <w:bCs/>
          <w:i w:val="0"/>
          <w:caps w:val="0"/>
          <w:smallCaps w:val="0"/>
          <w:snapToGrid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Lines="50" w:before="290" w:beforeAutospacing="0" w:after="0" w:afterAutospacing="0" w:line="560" w:lineRule="exact"/>
        <w:ind w:right="0" w:firstLineChars="200" w:firstLine="595"/>
        <w:jc w:val="both"/>
        <w:textAlignment w:val="auto"/>
        <w:rPr>
          <w:rFonts w:ascii="黑体" w:eastAsia="黑体" w:cs="黑体" w:hint="eastAsia"/>
          <w:i w:val="0"/>
          <w:caps w:val="0"/>
          <w:smallCaps w:val="0"/>
          <w:snapToGrid w:val="0"/>
          <w:color w:val="auto"/>
          <w:spacing w:val="0"/>
          <w:kern w:val="0"/>
          <w:sz w:val="32"/>
          <w:szCs w:val="32"/>
          <w:shd w:val="clear" w:color="auto" w:fill="FFFFFF"/>
          <w:lang w:val="en-US" w:eastAsia="zh-CN"/>
        </w:rPr>
      </w:pPr>
      <w:r>
        <w:rPr>
          <w:rFonts w:ascii="黑体" w:eastAsia="黑体" w:cs="黑体" w:hint="eastAsia"/>
          <w:i w:val="0"/>
          <w:caps w:val="0"/>
          <w:smallCaps w:val="0"/>
          <w:snapToGrid w:val="0"/>
          <w:color w:val="auto"/>
          <w:spacing w:val="0"/>
          <w:kern w:val="0"/>
          <w:sz w:val="32"/>
          <w:szCs w:val="32"/>
          <w:shd w:val="clear" w:color="auto" w:fill="FFFFFF"/>
          <w:lang w:val="en-US" w:eastAsia="zh-CN"/>
        </w:rPr>
        <w:t>五、存在的主要问题及改进情况</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60" w:lineRule="exact"/>
        <w:ind w:right="0" w:firstLineChars="200" w:firstLine="595"/>
        <w:jc w:val="both"/>
        <w:textAlignment w:val="auto"/>
        <w:rPr>
          <w:rStyle w:val="18"/>
          <w:rFonts w:ascii="仿宋_GB2312" w:cs="仿宋_GB2312" w:hint="eastAsia"/>
          <w:b w:val="0"/>
          <w:szCs w:val="32"/>
          <w:bdr w:val="none" w:sz="0" w:space="0" w:color="auto"/>
        </w:rPr>
      </w:pPr>
      <w:r>
        <w:rPr>
          <w:rStyle w:val="18"/>
          <w:rFonts w:ascii="仿宋_GB2312" w:cs="仿宋_GB2312" w:hint="eastAsia"/>
          <w:b w:val="0"/>
          <w:szCs w:val="32"/>
          <w:bdr w:val="none" w:sz="0" w:space="0" w:color="auto"/>
        </w:rPr>
        <w:t>全面审视2022年工作，虽然获得一些进步，但面对新形势、新任务，与人民群众新期待，仍然存在一些方面需要加强。</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bidi w:val="0"/>
        <w:ind w:firstLineChars="100" w:firstLine="298"/>
        <w:rPr>
          <w:rFonts w:hint="eastAsia"/>
        </w:rPr>
      </w:pPr>
      <w:r>
        <w:rPr>
          <w:rFonts w:ascii="楷体_GB2312" w:eastAsia="楷体_GB2312" w:hint="eastAsia"/>
          <w:b/>
          <w:bCs/>
        </w:rPr>
        <w:t>（一）不断提升主动公开水平。</w:t>
      </w:r>
      <w:r>
        <w:rPr>
          <w:rFonts w:hint="eastAsia"/>
        </w:rPr>
        <w:t>聚焦群众关切，将群众最关心的事项纳入政府信息公开范畴，主动回应群众关切，多方位发布政府信息，形成多形式、多渠道的政府信息公开工作局面。</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bidi w:val="0"/>
        <w:ind w:firstLineChars="100" w:firstLine="298"/>
        <w:jc w:val="both"/>
        <w:rPr>
          <w:rFonts w:hint="eastAsia"/>
        </w:rPr>
      </w:pPr>
      <w:r>
        <w:rPr>
          <w:rFonts w:ascii="楷体_GB2312" w:eastAsia="楷体_GB2312" w:hint="eastAsia"/>
          <w:b/>
          <w:bCs/>
        </w:rPr>
        <w:t>（二）强化政策解读质量与实效。</w:t>
      </w:r>
      <w:r>
        <w:rPr>
          <w:rFonts w:hint="eastAsia"/>
        </w:rPr>
        <w:t>按照“谁起草、谁解读”的原则，按时保质进行政策解读，同时丰富政策解读形式，及时准确传递政策意图，提升政策宣传解读质量。</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ind w:firstLineChars="100" w:firstLine="298"/>
        <w:jc w:val="both"/>
        <w:rPr>
          <w:rStyle w:val="18"/>
          <w:rFonts w:ascii="仿宋_GB2312" w:cs="仿宋_GB2312" w:hint="eastAsia"/>
          <w:b w:val="0"/>
          <w:szCs w:val="32"/>
          <w:bdr w:val="none" w:sz="0" w:space="0" w:color="auto"/>
        </w:rPr>
      </w:pPr>
      <w:r>
        <w:rPr>
          <w:rFonts w:ascii="楷体_GB2312" w:eastAsia="楷体_GB2312" w:hint="eastAsia"/>
          <w:b/>
          <w:bCs/>
        </w:rPr>
        <w:t>（三）及时办理依申请公开信息。</w:t>
      </w:r>
      <w:r>
        <w:rPr>
          <w:rStyle w:val="18"/>
          <w:rFonts w:ascii="仿宋_GB2312" w:cs="仿宋_GB2312" w:hint="eastAsia"/>
          <w:b w:val="0"/>
          <w:szCs w:val="32"/>
          <w:bdr w:val="none" w:sz="0" w:space="0" w:color="auto"/>
        </w:rPr>
        <w:t>按照市政府发布的标准文本规范化进行答复，在规定时限内办结，更进一步完善依申请公开接收、登记、审核、办理、答复、归档等工作制度，及时答复群众信息申请。</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ind w:firstLineChars="100" w:firstLine="298"/>
        <w:jc w:val="both"/>
        <w:rPr>
          <w:bdr w:val="none" w:sz="0" w:space="0" w:color="auto"/>
        </w:rPr>
      </w:pPr>
      <w:r>
        <w:rPr>
          <w:rStyle w:val="0"/>
          <w:rFonts w:ascii="楷体_GB2312" w:eastAsia="楷体_GB2312" w:hint="eastAsia"/>
          <w:b/>
          <w:bCs/>
          <w:bdr w:val="none" w:sz="0" w:space="0" w:color="auto"/>
        </w:rPr>
        <w:t>（四）精心打造公开平台。</w:t>
      </w:r>
      <w:r>
        <w:rPr>
          <w:rFonts w:hint="eastAsia"/>
          <w:bdr w:val="none" w:sz="0" w:space="0" w:color="auto"/>
        </w:rPr>
        <w:t>依托县政府门户网站，打造更加全面的政务公开平台、更加权威的政策发布解读平台、更加及时便民服务平台，努力建设亲民便民、精准服务、整体协调、透明高效的网上政府。</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ind w:firstLineChars="100" w:firstLine="298"/>
        <w:jc w:val="both"/>
        <w:rPr>
          <w:rFonts w:hint="eastAsia"/>
          <w:bdr w:val="none" w:sz="0" w:space="0" w:color="auto"/>
          <w:lang w:val="en-US" w:eastAsia="zh-CN"/>
        </w:rPr>
      </w:pP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560" w:lineRule="exact"/>
        <w:ind w:right="0" w:firstLineChars="200" w:firstLine="595"/>
        <w:jc w:val="both"/>
        <w:textAlignment w:val="auto"/>
        <w:rPr>
          <w:rFonts w:ascii="黑体" w:eastAsia="黑体" w:cs="黑体" w:hint="eastAsia"/>
          <w:i w:val="0"/>
          <w:caps w:val="0"/>
          <w:smallCaps w:val="0"/>
          <w:snapToGrid w:val="0"/>
          <w:color w:val="auto"/>
          <w:spacing w:val="0"/>
          <w:kern w:val="0"/>
          <w:sz w:val="32"/>
          <w:szCs w:val="32"/>
          <w:shd w:val="clear" w:color="auto" w:fill="FFFFFF"/>
          <w:lang w:val="en-US" w:eastAsia="zh-CN"/>
        </w:rPr>
      </w:pPr>
      <w:r>
        <w:rPr>
          <w:rFonts w:ascii="黑体" w:eastAsia="黑体" w:cs="黑体" w:hint="eastAsia"/>
          <w:i w:val="0"/>
          <w:caps w:val="0"/>
          <w:smallCaps w:val="0"/>
          <w:snapToGrid w:val="0"/>
          <w:color w:val="auto"/>
          <w:spacing w:val="0"/>
          <w:kern w:val="0"/>
          <w:sz w:val="32"/>
          <w:szCs w:val="32"/>
          <w:shd w:val="clear" w:color="auto" w:fill="FFFFFF"/>
          <w:lang w:val="en-US" w:eastAsia="zh-CN"/>
        </w:rPr>
        <w:t>六、其他需要报告的事项</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560" w:lineRule="exact"/>
        <w:ind w:right="0" w:firstLineChars="200" w:firstLine="595"/>
        <w:jc w:val="both"/>
        <w:textAlignment w:val="auto"/>
        <w:rPr>
          <w:rFonts w:ascii="仿宋_GB2312" w:eastAsia="仿宋_GB2312" w:cs="仿宋_GB2312" w:hint="eastAsia"/>
          <w:i w:val="0"/>
          <w:caps w:val="0"/>
          <w:smallCaps w:val="0"/>
          <w:snapToGrid w:val="0"/>
          <w:color w:val="auto"/>
          <w:spacing w:val="0"/>
          <w:kern w:val="0"/>
          <w:sz w:val="32"/>
          <w:szCs w:val="32"/>
          <w:shd w:val="clear" w:color="auto" w:fill="FFFFFF"/>
          <w:lang w:val="en-US" w:eastAsia="zh-CN"/>
        </w:rPr>
      </w:pPr>
      <w:r>
        <w:rPr>
          <w:rFonts w:ascii="仿宋_GB2312" w:eastAsia="仿宋_GB2312" w:cs="仿宋_GB2312" w:hint="eastAsia"/>
          <w:i w:val="0"/>
          <w:caps w:val="0"/>
          <w:smallCaps w:val="0"/>
          <w:snapToGrid w:val="0"/>
          <w:color w:val="auto"/>
          <w:spacing w:val="0"/>
          <w:kern w:val="0"/>
          <w:sz w:val="32"/>
          <w:szCs w:val="32"/>
          <w:shd w:val="clear" w:color="auto" w:fill="FFFFFF"/>
          <w:lang w:val="en-US" w:eastAsia="zh-CN"/>
        </w:rPr>
        <w:t>无</w:t>
      </w:r>
    </w:p>
    <w:sectPr>
      <w:type w:val="continuous"/>
      <w:pgSz w:w="11907" w:h="16840"/>
      <w:pgMar w:top="2041" w:right="1588" w:bottom="2041" w:left="1531" w:header="851" w:footer="1588" w:gutter="454"/>
      <w:pgNumType/>
      <w:rtlGutter/>
      <w:docGrid w:type="linesAndChars" w:linePitch="579" w:charSpace="-4578"/>
    </w:sectPr>
  </w:body>
</w:document>
</file>

<file path=word/fontTable.xml><?xml version="1.0" encoding="utf-8"?>
<w:fonts xmlns:w="http://schemas.openxmlformats.org/wordprocessingml/2006/main" xmlns:r="http://schemas.openxmlformats.org/officeDocument/2006/relationships">
  <w:font w:name="CESI小标宋-GB2312">
    <w:altName w:val="方正兰亭黑_GBK"/>
    <w:panose1 w:val="02000500000000000000"/>
    <w:charset w:val="86"/>
    <w:family w:val="auto"/>
    <w:pitch w:val="variable"/>
    <w:sig w:usb0="800002AF" w:usb1="084F6CF8" w:usb2="00000010" w:usb3="00000000" w:csb0="0004000F" w:csb1="00000000"/>
  </w:font>
  <w:font w:name="方正小标宋简体">
    <w:panose1 w:val="03000509000000000000"/>
    <w:charset w:val="86"/>
    <w:family w:val="auto"/>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宋体">
    <w:altName w:val="方正书宋_GBK"/>
    <w:panose1 w:val="00000000000000000000"/>
    <w:charset w:val="00"/>
    <w:family w:val="auto"/>
    <w:pitch w:val="variable"/>
    <w:sig w:usb0="00000000" w:usb1="00000000" w:usb2="00000000" w:usb3="00000000" w:csb0="00000000" w:csb1="00000000"/>
  </w:font>
  <w:font w:name="黑体">
    <w:altName w:val="方正黑体_GBK"/>
    <w:panose1 w:val="02010609060101010101"/>
    <w:charset w:val="86"/>
    <w:family w:val="auto"/>
    <w:pitch w:val="variable"/>
    <w:sig w:usb0="800002BF" w:usb1="38CF7CFA" w:usb2="00000016" w:usb3="00000000" w:csb0="00040001" w:csb1="00000000"/>
  </w:font>
  <w:font w:name="楷体_GB2312">
    <w:panose1 w:val="02010609030101010101"/>
    <w:charset w:val="86"/>
    <w:family w:val="auto"/>
    <w:pitch w:val="variable"/>
    <w:sig w:usb0="00000001" w:usb1="080E0000" w:usb2="00000000" w:usb3="00000000" w:csb0="00040000" w:csb1="00000000"/>
  </w:font>
  <w:font w:name="楷体">
    <w:altName w:val="方正楷体_GBK"/>
    <w:panose1 w:val="00000000000000000000"/>
    <w:charset w:val="00"/>
    <w:family w:val="auto"/>
    <w:pitch w:val="variable"/>
    <w:sig w:usb0="00000000" w:usb1="00000000" w:usb2="00000000" w:usb3="00000000" w:csb0="00000000" w:csb1="00000000"/>
  </w:font>
  <w:font w:name="Calibri">
    <w:altName w:val="DejaVu Sans"/>
    <w:panose1 w:val="020F0502020204030204"/>
    <w:charset w:val="00"/>
    <w:family w:val="swiss"/>
    <w:pitch w:val="variable"/>
    <w:sig w:usb0="00000000" w:usb1="00000000" w:usb2="00000001" w:usb3="00000000" w:csb0="0000019F" w:csb1="00000000"/>
  </w:font>
  <w:font w:name="Times New Roman">
    <w:altName w:val="DejaVu Sans"/>
    <w:panose1 w:val="02020603050405020304"/>
    <w:charset w:val="00"/>
    <w:family w:val="roman"/>
    <w:pitch w:val="variable"/>
    <w:sig w:usb0="20007A87" w:usb1="80000000" w:usb2="00000008" w:usb3="00000000" w:csb0="000001FF" w:csb1="00000000"/>
  </w:font>
  <w:font w:name="Luxi Sans">
    <w:altName w:val="DejaVu Sans"/>
    <w:panose1 w:val="00000000000000000000"/>
    <w:charset w:val="00"/>
    <w:family w:val="auto"/>
    <w:pitch w:val="variable"/>
    <w:sig w:usb0="00000000" w:usb1="00000000" w:usb2="00000000" w:usb3="00000000" w:csb0="00000000" w:csb1="00000000"/>
  </w:font>
  <w:font w:name="Arial">
    <w:altName w:val="DejaVu Sans"/>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ocumentProtection w:edit="readOnly" w:enforcement="0"/>
  <w:defaultTabStop w:val="420"/>
  <w:drawingGridHorizontalSpacing w:val="157"/>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仿宋_GB2312" w:eastAsia="仿宋_GB2312" w:cs="仿宋_GB2312"/>
      <w:color w:val="auto"/>
      <w:kern w:val="2"/>
      <w:sz w:val="32"/>
      <w:szCs w:val="3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Normal (Web)"/>
    <w:basedOn w:val="0"/>
    <w:pPr>
      <w:spacing w:before="0" w:beforeAutospacing="1" w:after="0" w:afterAutospacing="1"/>
      <w:ind w:left="0" w:right="0"/>
      <w:jc w:val="left"/>
    </w:pPr>
    <w:rPr>
      <w:kern w:val="0"/>
      <w:sz w:val="24"/>
      <w:lang w:val="en-US" w:eastAsia="zh-CN"/>
    </w:rPr>
  </w:style>
  <w:style w:type="paragraph" w:styleId="16">
    <w:name w:val="toc 1"/>
    <w:basedOn w:val="0"/>
    <w:autoRedefine/>
    <w:next w:val="0"/>
  </w:style>
  <w:style w:type="character" w:styleId="17">
    <w:name w:val="Strong"/>
    <w:basedOn w:val="10"/>
    <w:rPr>
      <w:b/>
    </w:rPr>
  </w:style>
  <w:style w:type="character" w:customStyle="1" w:styleId="18">
    <w:name w:val="15"/>
    <w:basedOn w:val="0"/>
    <w:rPr>
      <w:rFonts w:ascii="Calibri" w:eastAsia="仿宋_GB2312" w:cs="Arial" w:hAnsi="Calibri"/>
      <w:b/>
      <w:kern w:val="2"/>
      <w:sz w:val="32"/>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png"/><Relationship Id="rId3" Type="http://schemas.openxmlformats.org/officeDocument/2006/relationships/image" Target="media/5.png"/><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217</TotalTime>
  <Application>Yozo_Office27021597764231179</Application>
  <Pages>7</Pages>
  <Words>2113</Words>
  <Characters>2201</Characters>
  <Lines>372</Lines>
  <Paragraphs>301</Paragraphs>
  <CharactersWithSpaces>2576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thtf</dc:creator>
  <cp:lastModifiedBy>chaoyue</cp:lastModifiedBy>
  <cp:revision>1</cp:revision>
  <cp:lastPrinted>2023-02-20T06:04:19Z</cp:lastPrinted>
  <dcterms:created xsi:type="dcterms:W3CDTF">2022-01-13T00:57:00Z</dcterms:created>
  <dcterms:modified xsi:type="dcterms:W3CDTF">2023-03-13T02:48:51Z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2052-11.8.2.9793</vt:lpwstr>
  </property>
</Properties>
</file>