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方正小标宋简体" w:hAnsi="仿宋" w:eastAsia="方正小标宋简体" w:cs="Times New Roman"/>
          <w:sz w:val="44"/>
          <w:szCs w:val="32"/>
        </w:rPr>
      </w:pPr>
    </w:p>
    <w:p>
      <w:pPr>
        <w:adjustRightInd w:val="0"/>
        <w:snapToGrid w:val="0"/>
        <w:jc w:val="center"/>
        <w:rPr>
          <w:rFonts w:ascii="方正小标宋简体" w:hAnsi="仿宋" w:eastAsia="方正小标宋简体" w:cs="Times New Roman"/>
          <w:sz w:val="44"/>
          <w:szCs w:val="32"/>
        </w:rPr>
      </w:pPr>
      <w:r>
        <w:rPr>
          <w:rFonts w:hint="eastAsia" w:ascii="方正小标宋简体" w:hAnsi="仿宋" w:eastAsia="方正小标宋简体" w:cs="Times New Roman"/>
          <w:sz w:val="44"/>
          <w:szCs w:val="32"/>
        </w:rPr>
        <w:t>隆化县202</w:t>
      </w:r>
      <w:r>
        <w:rPr>
          <w:rFonts w:hint="eastAsia" w:ascii="方正小标宋简体" w:hAnsi="仿宋" w:eastAsia="方正小标宋简体" w:cs="Times New Roman"/>
          <w:sz w:val="44"/>
          <w:szCs w:val="32"/>
          <w:lang w:val="en-US" w:eastAsia="zh-CN"/>
        </w:rPr>
        <w:t>3</w:t>
      </w:r>
      <w:r>
        <w:rPr>
          <w:rFonts w:hint="eastAsia" w:ascii="方正小标宋简体" w:hAnsi="仿宋" w:eastAsia="方正小标宋简体" w:cs="Times New Roman"/>
          <w:sz w:val="44"/>
          <w:szCs w:val="32"/>
        </w:rPr>
        <w:t>年三公经费预算安排情况说明</w:t>
      </w:r>
    </w:p>
    <w:p>
      <w:pPr>
        <w:adjustRightInd w:val="0"/>
        <w:snapToGrid w:val="0"/>
        <w:rPr>
          <w:rFonts w:ascii="仿宋_GB2312" w:hAnsi="仿宋" w:eastAsia="仿宋_GB2312" w:cs="Times New Roman"/>
          <w:sz w:val="32"/>
          <w:szCs w:val="32"/>
        </w:rPr>
      </w:pPr>
    </w:p>
    <w:p>
      <w:pPr>
        <w:adjustRightInd w:val="0"/>
        <w:snapToGrid w:val="0"/>
        <w:spacing w:line="300" w:lineRule="auto"/>
        <w:ind w:firstLine="627" w:firstLineChars="196"/>
        <w:rPr>
          <w:rFonts w:ascii="黑体" w:hAnsi="黑体" w:eastAsia="黑体" w:cs="Times New Roman"/>
          <w:sz w:val="32"/>
          <w:szCs w:val="32"/>
        </w:rPr>
      </w:pPr>
      <w:r>
        <w:rPr>
          <w:rFonts w:hint="eastAsia" w:ascii="黑体" w:hAnsi="黑体" w:eastAsia="黑体" w:cs="Times New Roman"/>
          <w:sz w:val="32"/>
          <w:szCs w:val="32"/>
        </w:rPr>
        <w:t>一、202</w:t>
      </w:r>
      <w:r>
        <w:rPr>
          <w:rFonts w:hint="eastAsia" w:ascii="黑体" w:hAnsi="黑体" w:eastAsia="黑体" w:cs="Times New Roman"/>
          <w:sz w:val="32"/>
          <w:szCs w:val="32"/>
          <w:lang w:val="en-US" w:eastAsia="zh-CN"/>
        </w:rPr>
        <w:t>3</w:t>
      </w:r>
      <w:r>
        <w:rPr>
          <w:rFonts w:hint="eastAsia" w:ascii="黑体" w:hAnsi="黑体" w:eastAsia="黑体" w:cs="Times New Roman"/>
          <w:sz w:val="32"/>
          <w:szCs w:val="32"/>
        </w:rPr>
        <w:t>年预算安排总体要求</w:t>
      </w:r>
    </w:p>
    <w:p>
      <w:pPr>
        <w:adjustRightInd w:val="0"/>
        <w:snapToGrid w:val="0"/>
        <w:spacing w:line="300" w:lineRule="auto"/>
        <w:ind w:firstLine="640" w:firstLineChars="200"/>
        <w:rPr>
          <w:rFonts w:ascii="仿宋_GB2312" w:eastAsia="仿宋_GB2312" w:cs="仿宋_GB2312"/>
          <w:sz w:val="32"/>
          <w:szCs w:val="32"/>
        </w:rPr>
      </w:pPr>
      <w:r>
        <w:rPr>
          <w:rFonts w:hint="eastAsia" w:ascii="仿宋_GB2312" w:hAnsi="华文仿宋" w:eastAsia="仿宋_GB2312"/>
          <w:color w:val="000000"/>
          <w:sz w:val="32"/>
          <w:szCs w:val="32"/>
        </w:rPr>
        <w:t>202</w:t>
      </w:r>
      <w:r>
        <w:rPr>
          <w:rFonts w:hint="eastAsia" w:ascii="仿宋_GB2312" w:hAnsi="华文仿宋" w:eastAsia="仿宋_GB2312"/>
          <w:color w:val="000000"/>
          <w:sz w:val="32"/>
          <w:szCs w:val="32"/>
          <w:lang w:val="en-US" w:eastAsia="zh-CN"/>
        </w:rPr>
        <w:t>3</w:t>
      </w:r>
      <w:r>
        <w:rPr>
          <w:rFonts w:hint="eastAsia" w:ascii="仿宋_GB2312" w:hAnsi="华文仿宋" w:eastAsia="仿宋_GB2312"/>
          <w:color w:val="000000"/>
          <w:sz w:val="32"/>
          <w:szCs w:val="32"/>
        </w:rPr>
        <w:t>年预算严格按照“绩效预算、部门预算；综合预算、零基预算”的要求，从严从紧编列。</w:t>
      </w:r>
      <w:r>
        <w:rPr>
          <w:rFonts w:hint="eastAsia" w:ascii="仿宋_GB2312" w:hAnsi="华文仿宋" w:eastAsia="仿宋_GB2312"/>
          <w:sz w:val="32"/>
          <w:szCs w:val="32"/>
        </w:rPr>
        <w:t>既聚焦解决当前最紧迫问题，又着眼健全长效机制；既关注预算资金的直接产出和效果，又关注宏观政策目标的实现程度；既关注新出台政策、项目的科学性和精准度，又兼顾延续政策、项目的必要性和有效性。坚持“</w:t>
      </w:r>
      <w:r>
        <w:rPr>
          <w:rFonts w:hint="eastAsia" w:ascii="仿宋_GB2312" w:hAnsi="华文仿宋" w:eastAsia="仿宋_GB2312"/>
          <w:color w:val="000000"/>
          <w:sz w:val="32"/>
          <w:szCs w:val="32"/>
        </w:rPr>
        <w:t>量财办事,尽力而为；依法理财，硬化约束；勤俭节约，压减一般；讲求绩效，提高效益”的基本原则。</w:t>
      </w:r>
    </w:p>
    <w:p>
      <w:pPr>
        <w:adjustRightInd w:val="0"/>
        <w:snapToGrid w:val="0"/>
        <w:spacing w:line="300" w:lineRule="auto"/>
        <w:ind w:firstLine="640" w:firstLineChars="200"/>
        <w:rPr>
          <w:rFonts w:ascii="黑体" w:hAnsi="黑体" w:eastAsia="黑体" w:cs="Times New Roman"/>
          <w:sz w:val="32"/>
          <w:szCs w:val="32"/>
        </w:rPr>
      </w:pPr>
      <w:r>
        <w:rPr>
          <w:rFonts w:hint="eastAsia" w:ascii="黑体" w:hAnsi="黑体" w:eastAsia="黑体" w:cs="Times New Roman"/>
          <w:sz w:val="32"/>
          <w:szCs w:val="32"/>
        </w:rPr>
        <w:t>二、“三公”经费安排情况</w:t>
      </w:r>
    </w:p>
    <w:p>
      <w:pPr>
        <w:numPr>
          <w:ilvl w:val="0"/>
          <w:numId w:val="0"/>
        </w:numPr>
        <w:ind w:firstLine="640" w:firstLineChars="200"/>
        <w:jc w:val="both"/>
        <w:rPr>
          <w:rFonts w:hint="eastAsia" w:ascii="黑体" w:hAnsi="黑体" w:eastAsia="黑体" w:cs="Times New Roman"/>
          <w:sz w:val="32"/>
          <w:szCs w:val="32"/>
        </w:rPr>
      </w:pPr>
      <w:r>
        <w:rPr>
          <w:rFonts w:hint="eastAsia" w:ascii="仿宋_GB2312" w:hAnsi="仿宋_GB2312" w:eastAsia="仿宋_GB2312" w:cs="仿宋_GB2312"/>
          <w:b w:val="0"/>
          <w:bCs w:val="0"/>
          <w:sz w:val="32"/>
          <w:szCs w:val="32"/>
          <w:lang w:val="en-US" w:eastAsia="zh-CN"/>
        </w:rPr>
        <w:t>2023年我县“三公”经费一般公共预算口径总计1515.05万元，其中：公用用车购置10.8万元、公务用车运行维护费707.71万元、公务接待费796.54万元。“三公”经费较2022年均有不同程度增长，总计超上年638.72万元，公务用车运行维护和公务接待费增加较为明显，其中：公务用车运行维护较2022年增加77.99万元，公务接待费较2022年增加549.93万元，公务用车购置较2022年增加10.7万元。</w:t>
      </w:r>
    </w:p>
    <w:p>
      <w:pPr>
        <w:adjustRightInd w:val="0"/>
        <w:snapToGrid w:val="0"/>
        <w:spacing w:line="300" w:lineRule="auto"/>
        <w:ind w:firstLine="640" w:firstLineChars="200"/>
        <w:rPr>
          <w:rFonts w:ascii="黑体" w:hAnsi="黑体" w:eastAsia="黑体" w:cs="Times New Roman"/>
          <w:sz w:val="32"/>
          <w:szCs w:val="32"/>
        </w:rPr>
      </w:pPr>
      <w:r>
        <w:rPr>
          <w:rFonts w:hint="eastAsia" w:ascii="黑体" w:hAnsi="黑体" w:eastAsia="黑体" w:cs="Times New Roman"/>
          <w:sz w:val="32"/>
          <w:szCs w:val="32"/>
        </w:rPr>
        <w:t>三、“三公”经费变化原因</w:t>
      </w:r>
    </w:p>
    <w:p>
      <w:pPr>
        <w:numPr>
          <w:ilvl w:val="0"/>
          <w:numId w:val="0"/>
        </w:numPr>
        <w:ind w:firstLine="643" w:firstLineChars="200"/>
        <w:jc w:val="both"/>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（一）实际执行情况</w:t>
      </w:r>
    </w:p>
    <w:p>
      <w:pPr>
        <w:numPr>
          <w:ilvl w:val="0"/>
          <w:numId w:val="0"/>
        </w:numPr>
        <w:ind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从2022年“三公”经费实际执行情况来看，2022年我县公务接待决算口径724万元，2023年随着疫情形势的好转和国家各项政策及经济的回暖，各项实地调研工作在早有序开展，2023年年初预算公务接待费高于2022年实际执行72.54万元；2022年我县公务用车运行维护费决算口径650万元，2023年年初预算公务接待费高于2022年实际执行57.71万元，因为近来年清洁取暖、农村厕所革命等乡村振兴刚性项目要求下乡走访较多。综上所述，现有的年初预算数据无法支撑实际执行需求，为了更好地实现预算编制与预算执行的有效衔接和一体化平台建设的各项要求，需要通过调整年初预算编制来平衡。</w:t>
      </w:r>
    </w:p>
    <w:p>
      <w:pPr>
        <w:numPr>
          <w:ilvl w:val="0"/>
          <w:numId w:val="2"/>
        </w:numPr>
        <w:ind w:firstLine="643" w:firstLineChars="200"/>
        <w:jc w:val="both"/>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体制及标准变化</w:t>
      </w:r>
    </w:p>
    <w:p>
      <w:pPr>
        <w:numPr>
          <w:ilvl w:val="0"/>
          <w:numId w:val="0"/>
        </w:numPr>
        <w:ind w:firstLine="640" w:firstLineChars="200"/>
        <w:jc w:val="both"/>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2023年公务接待费增加幅度较大，主要集中在乡镇。2023年，我县对乡镇财政体制和乡镇运转经费标准进行了调整，乡镇根据自身实际和年初安排情况对“三公”经费进行了相应的申报，财政根据财力水平和历年执行进行了审核。</w:t>
      </w:r>
    </w:p>
    <w:p>
      <w:pPr>
        <w:numPr>
          <w:ilvl w:val="0"/>
          <w:numId w:val="2"/>
        </w:numPr>
        <w:ind w:left="0" w:leftChars="0" w:firstLine="643" w:firstLineChars="200"/>
        <w:jc w:val="both"/>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各级检查增多</w:t>
      </w:r>
    </w:p>
    <w:p>
      <w:pPr>
        <w:numPr>
          <w:ilvl w:val="0"/>
          <w:numId w:val="0"/>
        </w:numPr>
        <w:ind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近年来，审计等各级部门对“三公”经费检查频繁，主要对较上年“只减不增”情况进行分析，按照以往年度预算情况，我县2023年“三公”经费做到“只减不增”已无法实现部门正常运转，只有通过调整年初预算编制来解决，才能更好地做好“三公”经费编制及管理工作。</w:t>
      </w:r>
    </w:p>
    <w:p>
      <w:pPr>
        <w:adjustRightInd w:val="0"/>
        <w:snapToGrid w:val="0"/>
        <w:spacing w:after="156" w:afterLines="50" w:line="300" w:lineRule="auto"/>
        <w:ind w:firstLine="630"/>
        <w:rPr>
          <w:rFonts w:ascii="仿宋_GB2312" w:hAnsi="仿宋" w:eastAsia="仿宋_GB2312" w:cs="Times New Roman"/>
          <w:sz w:val="32"/>
          <w:szCs w:val="32"/>
        </w:rPr>
      </w:pPr>
      <w:bookmarkStart w:id="0" w:name="_GoBack"/>
      <w:bookmarkEnd w:id="0"/>
    </w:p>
    <w:sectPr>
      <w:headerReference r:id="rId3" w:type="default"/>
      <w:pgSz w:w="11906" w:h="16838"/>
      <w:pgMar w:top="1361" w:right="1531" w:bottom="1361"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FF58FA"/>
    <w:multiLevelType w:val="singleLevel"/>
    <w:tmpl w:val="17FF58FA"/>
    <w:lvl w:ilvl="0" w:tentative="0">
      <w:start w:val="2"/>
      <w:numFmt w:val="chineseCounting"/>
      <w:suff w:val="nothing"/>
      <w:lvlText w:val="（%1）"/>
      <w:lvlJc w:val="left"/>
      <w:rPr>
        <w:rFonts w:hint="eastAsia"/>
      </w:rPr>
    </w:lvl>
  </w:abstractNum>
  <w:abstractNum w:abstractNumId="1">
    <w:nsid w:val="7D197C95"/>
    <w:multiLevelType w:val="multilevel"/>
    <w:tmpl w:val="7D197C95"/>
    <w:lvl w:ilvl="0" w:tentative="0">
      <w:start w:val="1"/>
      <w:numFmt w:val="decimal"/>
      <w:pStyle w:val="2"/>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16627"/>
    <w:rsid w:val="0001064B"/>
    <w:rsid w:val="00037B72"/>
    <w:rsid w:val="0005735E"/>
    <w:rsid w:val="000644E4"/>
    <w:rsid w:val="000837FE"/>
    <w:rsid w:val="000A43F2"/>
    <w:rsid w:val="00105412"/>
    <w:rsid w:val="001A5678"/>
    <w:rsid w:val="001D58D4"/>
    <w:rsid w:val="00281CBC"/>
    <w:rsid w:val="00315C71"/>
    <w:rsid w:val="00367519"/>
    <w:rsid w:val="003A7954"/>
    <w:rsid w:val="003B2848"/>
    <w:rsid w:val="00406AA3"/>
    <w:rsid w:val="004420C3"/>
    <w:rsid w:val="00452767"/>
    <w:rsid w:val="0048105C"/>
    <w:rsid w:val="004A3AE9"/>
    <w:rsid w:val="00501F1E"/>
    <w:rsid w:val="005136B4"/>
    <w:rsid w:val="0057247B"/>
    <w:rsid w:val="00583283"/>
    <w:rsid w:val="005A41D8"/>
    <w:rsid w:val="005D5CDB"/>
    <w:rsid w:val="00623708"/>
    <w:rsid w:val="00625D32"/>
    <w:rsid w:val="00635A10"/>
    <w:rsid w:val="006510E6"/>
    <w:rsid w:val="006A7886"/>
    <w:rsid w:val="006B08EF"/>
    <w:rsid w:val="00711B14"/>
    <w:rsid w:val="00716627"/>
    <w:rsid w:val="00746779"/>
    <w:rsid w:val="007608E8"/>
    <w:rsid w:val="0079565C"/>
    <w:rsid w:val="007B6DDE"/>
    <w:rsid w:val="007C6B53"/>
    <w:rsid w:val="007D192A"/>
    <w:rsid w:val="00827BC5"/>
    <w:rsid w:val="00835A1D"/>
    <w:rsid w:val="008617FC"/>
    <w:rsid w:val="008E14D9"/>
    <w:rsid w:val="00926282"/>
    <w:rsid w:val="009455E9"/>
    <w:rsid w:val="00947D0C"/>
    <w:rsid w:val="009B5524"/>
    <w:rsid w:val="009D7397"/>
    <w:rsid w:val="00A15F33"/>
    <w:rsid w:val="00A62A19"/>
    <w:rsid w:val="00AD0667"/>
    <w:rsid w:val="00AF4631"/>
    <w:rsid w:val="00B04AB6"/>
    <w:rsid w:val="00BB57D0"/>
    <w:rsid w:val="00BB5EF0"/>
    <w:rsid w:val="00BF36AA"/>
    <w:rsid w:val="00C14789"/>
    <w:rsid w:val="00C21374"/>
    <w:rsid w:val="00C43C1F"/>
    <w:rsid w:val="00D056EB"/>
    <w:rsid w:val="00D1788C"/>
    <w:rsid w:val="00D61D8B"/>
    <w:rsid w:val="00D81615"/>
    <w:rsid w:val="00DC4601"/>
    <w:rsid w:val="00E0065E"/>
    <w:rsid w:val="00ED72F7"/>
    <w:rsid w:val="00EF579D"/>
    <w:rsid w:val="00F00820"/>
    <w:rsid w:val="00F124DC"/>
    <w:rsid w:val="00FE230B"/>
    <w:rsid w:val="02FE17AC"/>
    <w:rsid w:val="04415F75"/>
    <w:rsid w:val="219430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List Number"/>
    <w:basedOn w:val="1"/>
    <w:semiHidden/>
    <w:unhideWhenUsed/>
    <w:qFormat/>
    <w:uiPriority w:val="99"/>
    <w:pPr>
      <w:numPr>
        <w:ilvl w:val="0"/>
        <w:numId w:val="1"/>
      </w:numPr>
      <w:contextualSpacing/>
    </w:pPr>
  </w:style>
  <w:style w:type="paragraph" w:styleId="3">
    <w:name w:val="Date"/>
    <w:basedOn w:val="1"/>
    <w:next w:val="1"/>
    <w:link w:val="10"/>
    <w:semiHidden/>
    <w:unhideWhenUsed/>
    <w:qFormat/>
    <w:uiPriority w:val="99"/>
    <w:pPr>
      <w:ind w:left="100" w:leftChars="2500"/>
    </w:p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日期 字符"/>
    <w:basedOn w:val="7"/>
    <w:link w:val="3"/>
    <w:semiHidden/>
    <w:qFormat/>
    <w:uiPriority w:val="99"/>
  </w:style>
  <w:style w:type="paragraph" w:customStyle="1" w:styleId="11">
    <w:name w:val="正文列表编号"/>
    <w:basedOn w:val="2"/>
    <w:next w:val="2"/>
    <w:qFormat/>
    <w:uiPriority w:val="0"/>
    <w:pPr>
      <w:widowControl/>
      <w:numPr>
        <w:numId w:val="0"/>
      </w:numPr>
      <w:tabs>
        <w:tab w:val="left" w:pos="360"/>
        <w:tab w:val="left" w:pos="1822"/>
      </w:tabs>
      <w:spacing w:beforeLines="50" w:line="360" w:lineRule="auto"/>
      <w:ind w:left="1600" w:hanging="200"/>
      <w:jc w:val="left"/>
    </w:pPr>
    <w:rPr>
      <w:rFonts w:ascii="Verdana" w:hAnsi="Verdana" w:eastAsia="宋体" w:cs="Times New Roman"/>
      <w:kern w:val="0"/>
      <w:sz w:val="24"/>
      <w:szCs w:val="28"/>
      <w:lang w:eastAsia="en-US"/>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672</Words>
  <Characters>795</Characters>
  <Lines>6</Lines>
  <Paragraphs>1</Paragraphs>
  <TotalTime>1</TotalTime>
  <ScaleCrop>false</ScaleCrop>
  <LinksUpToDate>false</LinksUpToDate>
  <CharactersWithSpaces>798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2015-11-02T06:06:00Z</dcterms:created>
  <dc:creator>admin</dc:creator>
  <cp:lastModifiedBy>预算股</cp:lastModifiedBy>
  <cp:lastPrinted>2018-04-26T13:34:00Z</cp:lastPrinted>
  <dcterms:modified xsi:type="dcterms:W3CDTF">2023-03-04T11:02:42Z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54E2444454DA4B93BE369D68F1F9C6C0</vt:lpwstr>
  </property>
</Properties>
</file>