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ascii="华文中宋" w:hAnsi="华文中宋" w:eastAsia="华文中宋"/>
          <w:b/>
          <w:sz w:val="44"/>
          <w:szCs w:val="44"/>
        </w:rPr>
      </w:pPr>
      <w:r>
        <w:rPr>
          <w:rFonts w:hint="eastAsia" w:ascii="华文中宋" w:hAnsi="华文中宋" w:eastAsia="华文中宋"/>
          <w:b/>
          <w:sz w:val="44"/>
          <w:szCs w:val="44"/>
        </w:rPr>
        <w:t>20</w:t>
      </w:r>
      <w:r>
        <w:rPr>
          <w:rFonts w:ascii="华文中宋" w:hAnsi="华文中宋" w:eastAsia="华文中宋"/>
          <w:b/>
          <w:sz w:val="44"/>
          <w:szCs w:val="44"/>
        </w:rPr>
        <w:t>2</w:t>
      </w:r>
      <w:r>
        <w:rPr>
          <w:rFonts w:hint="eastAsia" w:ascii="华文中宋" w:hAnsi="华文中宋" w:eastAsia="华文中宋"/>
          <w:b/>
          <w:sz w:val="44"/>
          <w:szCs w:val="44"/>
          <w:lang w:val="en-US" w:eastAsia="zh-CN"/>
        </w:rPr>
        <w:t>3</w:t>
      </w:r>
      <w:r>
        <w:rPr>
          <w:rFonts w:hint="eastAsia" w:ascii="华文中宋" w:hAnsi="华文中宋" w:eastAsia="华文中宋"/>
          <w:b/>
          <w:sz w:val="44"/>
          <w:szCs w:val="44"/>
        </w:rPr>
        <w:t>年度重点工作</w:t>
      </w:r>
    </w:p>
    <w:p>
      <w:pPr>
        <w:adjustRightInd w:val="0"/>
        <w:snapToGrid w:val="0"/>
        <w:spacing w:line="300" w:lineRule="auto"/>
        <w:rPr>
          <w:rFonts w:ascii="仿宋_GB2312" w:hAnsi="华文中宋" w:eastAsia="仿宋_GB2312"/>
          <w:b/>
          <w:sz w:val="32"/>
          <w:szCs w:val="32"/>
        </w:rPr>
      </w:pPr>
    </w:p>
    <w:p>
      <w:pPr>
        <w:spacing w:line="560" w:lineRule="exact"/>
        <w:ind w:firstLine="640" w:firstLineChars="200"/>
        <w:rPr>
          <w:rFonts w:hint="eastAsia" w:ascii="仿宋_GB2312" w:hAnsi="Verdana" w:eastAsia="仿宋_GB2312" w:cs="宋体"/>
          <w:kern w:val="0"/>
          <w:sz w:val="32"/>
          <w:szCs w:val="32"/>
        </w:rPr>
      </w:pPr>
      <w:r>
        <w:rPr>
          <w:rFonts w:hint="eastAsia" w:ascii="仿宋_GB2312" w:hAnsi="Verdana" w:eastAsia="仿宋_GB2312" w:cs="宋体"/>
          <w:kern w:val="0"/>
          <w:sz w:val="32"/>
          <w:szCs w:val="32"/>
        </w:rPr>
        <w:t>202</w:t>
      </w:r>
      <w:r>
        <w:rPr>
          <w:rFonts w:hint="eastAsia" w:ascii="仿宋_GB2312" w:hAnsi="Verdana" w:eastAsia="仿宋_GB2312" w:cs="宋体"/>
          <w:kern w:val="0"/>
          <w:sz w:val="32"/>
          <w:szCs w:val="32"/>
          <w:lang w:val="en-US" w:eastAsia="zh-CN"/>
        </w:rPr>
        <w:t>3</w:t>
      </w:r>
      <w:r>
        <w:rPr>
          <w:rFonts w:hint="eastAsia" w:ascii="仿宋_GB2312" w:hAnsi="Verdana" w:eastAsia="仿宋_GB2312" w:cs="宋体"/>
          <w:kern w:val="0"/>
          <w:sz w:val="32"/>
          <w:szCs w:val="32"/>
        </w:rPr>
        <w:t>年，我们将继续紧紧围绕</w:t>
      </w:r>
      <w:r>
        <w:rPr>
          <w:rFonts w:hint="eastAsia" w:ascii="仿宋_GB2312" w:hAnsi="Verdana" w:eastAsia="仿宋_GB2312" w:cs="宋体"/>
          <w:kern w:val="0"/>
          <w:sz w:val="32"/>
          <w:szCs w:val="32"/>
          <w:lang w:val="en-US" w:eastAsia="zh-CN"/>
        </w:rPr>
        <w:t>全县</w:t>
      </w:r>
      <w:r>
        <w:rPr>
          <w:rFonts w:hint="eastAsia" w:ascii="仿宋_GB2312" w:hAnsi="Verdana" w:eastAsia="仿宋_GB2312" w:cs="宋体"/>
          <w:kern w:val="0"/>
          <w:sz w:val="32"/>
          <w:szCs w:val="32"/>
        </w:rPr>
        <w:t>总体安排和部署，坚持党的全面领导，以人民为中心兜牢基本民生底线，强化责任担当、迎难而上，以财政之进更好服务于县域经济社会发展大局。全年重点做好以下几方面工作：</w:t>
      </w:r>
    </w:p>
    <w:p>
      <w:pPr>
        <w:spacing w:line="560" w:lineRule="exact"/>
        <w:ind w:firstLine="643" w:firstLineChars="200"/>
        <w:rPr>
          <w:rFonts w:hint="eastAsia" w:ascii="仿宋_GB2312" w:hAnsi="仿宋_GB2312" w:eastAsia="仿宋_GB2312" w:cs="仿宋_GB2312"/>
          <w:color w:val="000000"/>
          <w:sz w:val="32"/>
          <w:szCs w:val="32"/>
        </w:rPr>
      </w:pPr>
      <w:r>
        <w:rPr>
          <w:rFonts w:hint="eastAsia" w:ascii="楷体_GB2312" w:hAnsi="Verdana" w:eastAsia="楷体_GB2312" w:cs="宋体"/>
          <w:b/>
          <w:color w:val="000000"/>
          <w:kern w:val="0"/>
          <w:sz w:val="32"/>
          <w:szCs w:val="32"/>
        </w:rPr>
        <w:t>（一）全力以赴推动经济发展。</w:t>
      </w:r>
      <w:r>
        <w:rPr>
          <w:rFonts w:hint="eastAsia" w:ascii="仿宋_GB2312" w:eastAsia="仿宋_GB2312"/>
          <w:b/>
          <w:color w:val="000000"/>
          <w:sz w:val="32"/>
          <w:szCs w:val="32"/>
        </w:rPr>
        <w:t>一是</w:t>
      </w:r>
      <w:r>
        <w:rPr>
          <w:rFonts w:hint="eastAsia" w:ascii="仿宋_GB2312" w:eastAsia="仿宋_GB2312"/>
          <w:color w:val="000000"/>
          <w:sz w:val="32"/>
          <w:szCs w:val="32"/>
        </w:rPr>
        <w:t>坚持“项目为王”、“税源项目和工业项目为王中之王”思想不动摇，确保</w:t>
      </w:r>
      <w:r>
        <w:rPr>
          <w:rFonts w:hint="eastAsia" w:ascii="仿宋_GB2312" w:hAnsi="Calibri" w:eastAsia="仿宋_GB2312"/>
          <w:color w:val="000000"/>
          <w:sz w:val="32"/>
          <w:szCs w:val="32"/>
        </w:rPr>
        <w:t>“抽水蓄能、黎河肥业、</w:t>
      </w:r>
      <w:r>
        <w:rPr>
          <w:rFonts w:hint="eastAsia" w:ascii="仿宋_GB2312" w:hAnsi="仿宋_GB2312" w:eastAsia="仿宋_GB2312" w:cs="仿宋_GB2312"/>
          <w:color w:val="000000"/>
          <w:sz w:val="32"/>
          <w:szCs w:val="32"/>
        </w:rPr>
        <w:t>钛产品扩能</w:t>
      </w:r>
      <w:r>
        <w:rPr>
          <w:rFonts w:hint="eastAsia" w:ascii="仿宋_GB2312" w:hAnsi="Calibri" w:eastAsia="仿宋_GB2312"/>
          <w:color w:val="000000"/>
          <w:sz w:val="32"/>
          <w:szCs w:val="32"/>
        </w:rPr>
        <w:t>”等一系列为隆化长远利益发展的大项目顺利实施，培树好财源。</w:t>
      </w:r>
      <w:r>
        <w:rPr>
          <w:rFonts w:hint="eastAsia" w:ascii="仿宋_GB2312" w:eastAsia="仿宋_GB2312"/>
          <w:b/>
          <w:color w:val="000000"/>
          <w:sz w:val="32"/>
          <w:szCs w:val="32"/>
        </w:rPr>
        <w:t>二是</w:t>
      </w:r>
      <w:r>
        <w:rPr>
          <w:rFonts w:hint="eastAsia" w:ascii="仿宋_GB2312" w:hAnsi="Calibri" w:eastAsia="仿宋_GB2312"/>
          <w:color w:val="000000"/>
          <w:sz w:val="32"/>
          <w:szCs w:val="32"/>
        </w:rPr>
        <w:t>以七家-茅荆坝核心区域为主体，聚焦“温泉+康养、温泉+医养、温泉+生态”，引领产业高质量发展。</w:t>
      </w:r>
      <w:r>
        <w:rPr>
          <w:rFonts w:hint="eastAsia" w:ascii="仿宋_GB2312" w:eastAsia="仿宋_GB2312"/>
          <w:b/>
          <w:color w:val="000000"/>
          <w:sz w:val="32"/>
          <w:szCs w:val="32"/>
        </w:rPr>
        <w:t>三是</w:t>
      </w:r>
      <w:r>
        <w:rPr>
          <w:rFonts w:hint="eastAsia" w:ascii="仿宋_GB2312" w:eastAsia="仿宋_GB2312"/>
          <w:color w:val="000000"/>
          <w:sz w:val="32"/>
          <w:szCs w:val="32"/>
        </w:rPr>
        <w:t>紧紧围绕“一区四园”产业布局，支持引导新村、大昌、金谷等企业加大技改力度，</w:t>
      </w:r>
      <w:r>
        <w:rPr>
          <w:rFonts w:hint="eastAsia" w:ascii="仿宋_GB2312" w:hAnsi="Calibri" w:eastAsia="仿宋_GB2312"/>
          <w:color w:val="000000"/>
          <w:sz w:val="32"/>
          <w:szCs w:val="32"/>
        </w:rPr>
        <w:t>推动企业复工、复产、增产、达产，全力促增收。</w:t>
      </w:r>
      <w:r>
        <w:rPr>
          <w:rFonts w:hint="eastAsia" w:ascii="仿宋_GB2312" w:eastAsia="仿宋_GB2312"/>
          <w:b/>
          <w:color w:val="000000"/>
          <w:sz w:val="32"/>
          <w:szCs w:val="32"/>
        </w:rPr>
        <w:t>四是</w:t>
      </w:r>
      <w:r>
        <w:rPr>
          <w:rFonts w:hint="eastAsia" w:ascii="仿宋_GB2312" w:hAnsi="华文中宋" w:eastAsia="仿宋_GB2312" w:cs="华文中宋"/>
          <w:bCs/>
          <w:color w:val="000000"/>
          <w:sz w:val="32"/>
          <w:szCs w:val="32"/>
        </w:rPr>
        <w:t>持续研读招商政策，</w:t>
      </w:r>
      <w:r>
        <w:rPr>
          <w:rFonts w:hint="eastAsia" w:ascii="仿宋_GB2312" w:hAnsi="黑体" w:eastAsia="仿宋_GB2312"/>
          <w:color w:val="000000"/>
          <w:sz w:val="32"/>
          <w:szCs w:val="32"/>
        </w:rPr>
        <w:t>持续优化营商环境，</w:t>
      </w:r>
      <w:r>
        <w:rPr>
          <w:rFonts w:hint="eastAsia" w:ascii="仿宋_GB2312" w:hAnsi="仿宋_GB2312" w:eastAsia="仿宋_GB2312" w:cs="仿宋_GB2312"/>
          <w:color w:val="000000"/>
          <w:sz w:val="32"/>
          <w:szCs w:val="32"/>
        </w:rPr>
        <w:t>紧抓京津冀协同发展等政策机遇，重点在补短板、强弱项、优结构等方面谋划储备项目，</w:t>
      </w:r>
      <w:r>
        <w:rPr>
          <w:rFonts w:hint="eastAsia" w:ascii="仿宋_GB2312" w:hAnsi="华文中宋" w:eastAsia="仿宋_GB2312" w:cs="华文中宋"/>
          <w:bCs/>
          <w:color w:val="000000"/>
          <w:sz w:val="32"/>
          <w:szCs w:val="32"/>
        </w:rPr>
        <w:t>有效拓展税源，增强“动力”</w:t>
      </w:r>
      <w:r>
        <w:rPr>
          <w:rFonts w:hint="eastAsia" w:ascii="仿宋_GB2312" w:hAnsi="仿宋_GB2312" w:eastAsia="仿宋_GB2312" w:cs="仿宋_GB2312"/>
          <w:color w:val="000000"/>
          <w:sz w:val="32"/>
          <w:szCs w:val="32"/>
        </w:rPr>
        <w:t>。</w:t>
      </w:r>
      <w:r>
        <w:rPr>
          <w:rFonts w:hint="eastAsia" w:ascii="仿宋_GB2312" w:eastAsia="仿宋_GB2312"/>
          <w:b/>
          <w:color w:val="000000"/>
          <w:sz w:val="32"/>
          <w:szCs w:val="32"/>
        </w:rPr>
        <w:t>五是</w:t>
      </w:r>
      <w:r>
        <w:rPr>
          <w:rFonts w:hint="eastAsia" w:ascii="仿宋_GB2312" w:eastAsia="仿宋_GB2312"/>
          <w:color w:val="000000"/>
          <w:sz w:val="32"/>
          <w:szCs w:val="32"/>
        </w:rPr>
        <w:t>依托隆化“综合治税智能管税平台”，继续开展“商品房契税、矿山企业占地”等一系列县域纳税辅导工作，堵塞漏洞，做到依法征收、应收尽收。</w:t>
      </w:r>
      <w:r>
        <w:rPr>
          <w:rFonts w:hint="eastAsia" w:ascii="仿宋_GB2312" w:eastAsia="仿宋_GB2312"/>
          <w:b/>
          <w:color w:val="000000"/>
          <w:sz w:val="32"/>
          <w:szCs w:val="32"/>
        </w:rPr>
        <w:t>六是</w:t>
      </w:r>
      <w:r>
        <w:rPr>
          <w:rFonts w:hint="eastAsia" w:ascii="仿宋_GB2312" w:hAnsi="仿宋_GB2312" w:eastAsia="仿宋_GB2312" w:cs="仿宋_GB2312"/>
          <w:color w:val="000000"/>
          <w:sz w:val="32"/>
          <w:szCs w:val="32"/>
        </w:rPr>
        <w:t>统筹规划开发存量土地，水、路、电、讯等前期投入全部计入土地开发成本，提高土地出让亩均单价，增加政府基金收入规模。</w:t>
      </w:r>
    </w:p>
    <w:p>
      <w:pPr>
        <w:pBdr>
          <w:bottom w:val="single" w:color="FFFFFF" w:sz="4" w:space="0"/>
        </w:pBdr>
        <w:spacing w:line="560" w:lineRule="exact"/>
        <w:ind w:firstLine="643" w:firstLineChars="200"/>
        <w:rPr>
          <w:rFonts w:hint="eastAsia" w:ascii="仿宋_GB2312" w:hAnsi="Verdana" w:eastAsia="仿宋_GB2312" w:cs="宋体"/>
          <w:color w:val="000000"/>
          <w:kern w:val="0"/>
          <w:sz w:val="32"/>
          <w:szCs w:val="32"/>
        </w:rPr>
      </w:pPr>
      <w:r>
        <w:rPr>
          <w:rFonts w:hint="eastAsia" w:ascii="楷体_GB2312" w:hAnsi="Verdana" w:eastAsia="楷体_GB2312" w:cs="宋体"/>
          <w:b/>
          <w:color w:val="000000"/>
          <w:kern w:val="0"/>
          <w:sz w:val="32"/>
          <w:szCs w:val="32"/>
        </w:rPr>
        <w:t>（二）全力以赴争取资金支持。</w:t>
      </w:r>
      <w:r>
        <w:rPr>
          <w:rFonts w:hint="eastAsia" w:ascii="仿宋_GB2312" w:hAnsi="黑体" w:eastAsia="仿宋_GB2312"/>
          <w:b/>
          <w:bCs/>
          <w:color w:val="000000"/>
          <w:sz w:val="32"/>
          <w:szCs w:val="32"/>
        </w:rPr>
        <w:t>一是</w:t>
      </w:r>
      <w:r>
        <w:rPr>
          <w:rFonts w:hint="eastAsia" w:ascii="仿宋_GB2312" w:hAnsi="Verdana" w:eastAsia="仿宋_GB2312" w:cs="宋体"/>
          <w:color w:val="000000"/>
          <w:kern w:val="0"/>
          <w:sz w:val="32"/>
          <w:szCs w:val="32"/>
        </w:rPr>
        <w:t>继续全力争取上级支持，定期对到位资金进行横向与全市各县、纵向与历年到位情况进行分析对比，靶向发力，力争以前没有的争入围，已经有的争扩围，按因素法分配的争取提高占比。建立部门、乡镇争取上级资金考核奖惩办法，力争2023年全县争取资金规模增幅百分比在两位数以上。</w:t>
      </w:r>
      <w:r>
        <w:rPr>
          <w:rFonts w:hint="eastAsia" w:ascii="仿宋_GB2312" w:hAnsi="Verdana" w:eastAsia="仿宋_GB2312" w:cs="宋体"/>
          <w:b/>
          <w:color w:val="000000"/>
          <w:kern w:val="0"/>
          <w:sz w:val="32"/>
          <w:szCs w:val="32"/>
        </w:rPr>
        <w:t>二是</w:t>
      </w:r>
      <w:r>
        <w:rPr>
          <w:rFonts w:hint="eastAsia" w:ascii="仿宋_GB2312" w:hAnsi="Verdana" w:eastAsia="仿宋_GB2312" w:cs="宋体"/>
          <w:color w:val="000000"/>
          <w:kern w:val="0"/>
          <w:sz w:val="32"/>
          <w:szCs w:val="32"/>
        </w:rPr>
        <w:t>及时深入研判宏观经济政策走向和倾斜方向，协同有关部门加大跑省进厅、跑部进京力度，争取上级更多政策、项目、资金、试点落地我县。</w:t>
      </w:r>
      <w:r>
        <w:rPr>
          <w:rFonts w:hint="eastAsia" w:ascii="仿宋_GB2312" w:hAnsi="Verdana" w:eastAsia="仿宋_GB2312" w:cs="宋体"/>
          <w:b/>
          <w:color w:val="000000"/>
          <w:kern w:val="0"/>
          <w:sz w:val="32"/>
          <w:szCs w:val="32"/>
        </w:rPr>
        <w:t>三是</w:t>
      </w:r>
      <w:r>
        <w:rPr>
          <w:rFonts w:hint="eastAsia" w:ascii="仿宋_GB2312" w:hAnsi="Verdana" w:eastAsia="仿宋_GB2312" w:cs="宋体"/>
          <w:color w:val="000000"/>
          <w:kern w:val="0"/>
          <w:sz w:val="32"/>
          <w:szCs w:val="32"/>
        </w:rPr>
        <w:t>做好债券入库工作，最大限度争取债券资金支持。统筹整合闲置资产，扩大基金收入规模，进一步争取发债空间。</w:t>
      </w:r>
      <w:r>
        <w:rPr>
          <w:rFonts w:hint="eastAsia" w:ascii="仿宋_GB2312" w:hAnsi="Verdana" w:eastAsia="仿宋_GB2312" w:cs="宋体"/>
          <w:b/>
          <w:color w:val="000000"/>
          <w:kern w:val="0"/>
          <w:sz w:val="32"/>
          <w:szCs w:val="32"/>
        </w:rPr>
        <w:t>四是</w:t>
      </w:r>
      <w:r>
        <w:rPr>
          <w:rFonts w:hint="eastAsia" w:ascii="仿宋_GB2312" w:hAnsi="Verdana" w:eastAsia="仿宋_GB2312" w:cs="宋体"/>
          <w:color w:val="000000"/>
          <w:kern w:val="0"/>
          <w:sz w:val="32"/>
          <w:szCs w:val="32"/>
        </w:rPr>
        <w:t>继续探索国有企业融资渠道，最大限度争取政策性融资贷款支持, 同时在合法、合规前提下，对建设工程类财政资金项目整合打捆，扩大国控公司收入规模，实现利润最大化和纳税本地化。</w:t>
      </w:r>
    </w:p>
    <w:p>
      <w:pPr>
        <w:pBdr>
          <w:bottom w:val="single" w:color="FFFFFF" w:sz="4" w:space="0"/>
        </w:pBdr>
        <w:spacing w:line="560" w:lineRule="exact"/>
        <w:ind w:firstLine="643" w:firstLineChars="200"/>
        <w:rPr>
          <w:rFonts w:hint="eastAsia" w:ascii="楷体_GB2312" w:hAnsi="Verdana" w:eastAsia="楷体_GB2312" w:cs="宋体"/>
          <w:b/>
          <w:color w:val="000000"/>
          <w:kern w:val="0"/>
          <w:sz w:val="32"/>
          <w:szCs w:val="32"/>
        </w:rPr>
      </w:pPr>
      <w:r>
        <w:rPr>
          <w:rFonts w:hint="eastAsia" w:ascii="楷体_GB2312" w:hAnsi="Verdana" w:eastAsia="楷体_GB2312" w:cs="宋体"/>
          <w:b/>
          <w:color w:val="000000"/>
          <w:kern w:val="0"/>
          <w:sz w:val="32"/>
          <w:szCs w:val="32"/>
        </w:rPr>
        <w:t>（三）全力以赴兜底保障民生。</w:t>
      </w:r>
      <w:r>
        <w:rPr>
          <w:rFonts w:hint="eastAsia" w:ascii="仿宋_GB2312" w:hAnsi="黑体" w:eastAsia="仿宋_GB2312"/>
          <w:b/>
          <w:bCs/>
          <w:color w:val="000000"/>
          <w:sz w:val="32"/>
          <w:szCs w:val="32"/>
        </w:rPr>
        <w:t>一是</w:t>
      </w:r>
      <w:r>
        <w:rPr>
          <w:rFonts w:hint="eastAsia" w:ascii="仿宋_GB2312" w:hAnsi="黑体" w:eastAsia="仿宋_GB2312"/>
          <w:bCs/>
          <w:color w:val="000000"/>
          <w:sz w:val="32"/>
          <w:szCs w:val="32"/>
        </w:rPr>
        <w:t>兜牢财政资金“三保”支出底线，分清轻重缓急，合理安排财政支出，确保国家和省定的个人部分、基本民生政策落到实处。坚决压减非急需、非刚性和低效支出，取消无效支出，调整标准过高的支出。</w:t>
      </w:r>
      <w:r>
        <w:rPr>
          <w:rFonts w:hint="eastAsia" w:ascii="仿宋_GB2312" w:hAnsi="黑体" w:eastAsia="仿宋_GB2312"/>
          <w:b/>
          <w:bCs/>
          <w:color w:val="000000"/>
          <w:sz w:val="32"/>
          <w:szCs w:val="32"/>
        </w:rPr>
        <w:t>二是</w:t>
      </w:r>
      <w:r>
        <w:rPr>
          <w:rFonts w:hint="eastAsia" w:ascii="仿宋_GB2312" w:hAnsi="黑体" w:eastAsia="仿宋_GB2312"/>
          <w:bCs/>
          <w:color w:val="000000"/>
          <w:sz w:val="32"/>
          <w:szCs w:val="32"/>
        </w:rPr>
        <w:t>坚决落实过紧日子要求，充分估计困难挑战，实事求是、坚持勤俭办一切事业，打好“铁算盘”，管好“钱袋子”，集中一切可以集中的资金保亟需，把有限的资金用在关键处、要紧时。</w:t>
      </w:r>
      <w:r>
        <w:rPr>
          <w:rFonts w:hint="eastAsia" w:ascii="仿宋_GB2312" w:hAnsi="黑体" w:eastAsia="仿宋_GB2312"/>
          <w:b/>
          <w:bCs/>
          <w:color w:val="000000"/>
          <w:sz w:val="32"/>
          <w:szCs w:val="32"/>
        </w:rPr>
        <w:t>三是</w:t>
      </w:r>
      <w:r>
        <w:rPr>
          <w:rFonts w:hint="eastAsia" w:ascii="仿宋_GB2312" w:hAnsi="黑体" w:eastAsia="仿宋_GB2312"/>
          <w:bCs/>
          <w:color w:val="000000"/>
          <w:sz w:val="32"/>
          <w:szCs w:val="32"/>
        </w:rPr>
        <w:t>加快支出标准体系建设，逐步建立涵盖财政重点支出领域、主要共性项目和重大延续性项目的支出标准体系。结合经济社会发展、物价变动、财力变化等因素，合理确定公务支出标准，提高支出范围和标准的科学化、规范化水平。</w:t>
      </w:r>
      <w:r>
        <w:rPr>
          <w:rFonts w:hint="eastAsia" w:ascii="仿宋_GB2312" w:hAnsi="黑体" w:eastAsia="仿宋_GB2312"/>
          <w:b/>
          <w:bCs/>
          <w:color w:val="000000"/>
          <w:sz w:val="32"/>
          <w:szCs w:val="32"/>
        </w:rPr>
        <w:t>四是</w:t>
      </w:r>
      <w:r>
        <w:rPr>
          <w:rFonts w:hint="eastAsia" w:ascii="仿宋_GB2312" w:hAnsi="黑体" w:eastAsia="仿宋_GB2312"/>
          <w:bCs/>
          <w:color w:val="000000"/>
          <w:sz w:val="32"/>
          <w:szCs w:val="32"/>
        </w:rPr>
        <w:t>深化预算管理制度改革，提高科学化、精细化管理水平，对财政资金实行全方位、全过程、全覆盖预算绩效管理。</w:t>
      </w:r>
    </w:p>
    <w:p>
      <w:pPr>
        <w:pBdr>
          <w:bottom w:val="single" w:color="FFFFFF" w:sz="4" w:space="0"/>
        </w:pBdr>
        <w:spacing w:line="560" w:lineRule="exact"/>
        <w:ind w:firstLine="643" w:firstLineChars="200"/>
        <w:rPr>
          <w:rFonts w:hint="eastAsia" w:ascii="仿宋_GB2312" w:hAnsi="黑体" w:eastAsia="仿宋_GB2312"/>
          <w:bCs/>
          <w:color w:val="000000"/>
          <w:sz w:val="32"/>
          <w:szCs w:val="32"/>
        </w:rPr>
      </w:pPr>
      <w:r>
        <w:rPr>
          <w:rFonts w:hint="eastAsia" w:ascii="楷体_GB2312" w:hAnsi="Verdana" w:eastAsia="楷体_GB2312" w:cs="宋体"/>
          <w:b/>
          <w:color w:val="000000"/>
          <w:kern w:val="0"/>
          <w:sz w:val="32"/>
          <w:szCs w:val="32"/>
        </w:rPr>
        <w:t>（四）全力以赴规范依法理财。</w:t>
      </w:r>
      <w:r>
        <w:rPr>
          <w:rFonts w:hint="eastAsia" w:ascii="仿宋_GB2312" w:hAnsi="黑体" w:eastAsia="仿宋_GB2312"/>
          <w:b/>
          <w:bCs/>
          <w:color w:val="000000"/>
          <w:sz w:val="32"/>
          <w:szCs w:val="32"/>
        </w:rPr>
        <w:t>一是</w:t>
      </w:r>
      <w:r>
        <w:rPr>
          <w:rFonts w:hint="eastAsia" w:ascii="仿宋_GB2312" w:hAnsi="黑体" w:eastAsia="仿宋_GB2312"/>
          <w:bCs/>
          <w:color w:val="000000"/>
          <w:sz w:val="32"/>
          <w:szCs w:val="32"/>
        </w:rPr>
        <w:t>严格预算约束，把严肃财经纪律挺在各项工作前面，认真落实财税法律法规，加强预算执行和资金安全管理，坚守底线、不越红线、不碰高压线。</w:t>
      </w:r>
      <w:r>
        <w:rPr>
          <w:rFonts w:hint="eastAsia" w:ascii="仿宋_GB2312" w:hAnsi="黑体" w:eastAsia="仿宋_GB2312"/>
          <w:b/>
          <w:bCs/>
          <w:color w:val="000000"/>
          <w:sz w:val="32"/>
          <w:szCs w:val="32"/>
        </w:rPr>
        <w:t>二是</w:t>
      </w:r>
      <w:r>
        <w:rPr>
          <w:rFonts w:hint="eastAsia" w:ascii="仿宋_GB2312" w:hAnsi="黑体" w:eastAsia="仿宋_GB2312"/>
          <w:bCs/>
          <w:color w:val="000000"/>
          <w:sz w:val="32"/>
          <w:szCs w:val="32"/>
        </w:rPr>
        <w:t>进一步提高财政资源统筹力度，持续加强债务管控，控制债务规模，合理统筹调度资金偿还到期债务，严控新发生暂付款，严守风险底线，维护优良信誉。</w:t>
      </w:r>
      <w:r>
        <w:rPr>
          <w:rFonts w:hint="eastAsia" w:ascii="仿宋_GB2312" w:hAnsi="黑体" w:eastAsia="仿宋_GB2312"/>
          <w:b/>
          <w:bCs/>
          <w:color w:val="000000"/>
          <w:sz w:val="32"/>
          <w:szCs w:val="32"/>
        </w:rPr>
        <w:t>三是</w:t>
      </w:r>
      <w:r>
        <w:rPr>
          <w:rFonts w:hint="eastAsia" w:ascii="仿宋_GB2312" w:hAnsi="黑体" w:eastAsia="仿宋_GB2312"/>
          <w:bCs/>
          <w:color w:val="000000"/>
          <w:sz w:val="32"/>
          <w:szCs w:val="32"/>
        </w:rPr>
        <w:t>贯彻落实《财政部关于加强“三公”经费管理严控一般性支出的通知》（财预〔2022〕126号），对单位临时聘用、购买服务人员进行梳理，对应由本单位履行职责的工作事项不得通过政府购买服务等方式变相增加编外人员预算。</w:t>
      </w:r>
      <w:r>
        <w:rPr>
          <w:rFonts w:hint="eastAsia" w:ascii="仿宋_GB2312" w:hAnsi="黑体" w:eastAsia="仿宋_GB2312"/>
          <w:b/>
          <w:bCs/>
          <w:color w:val="000000"/>
          <w:sz w:val="32"/>
          <w:szCs w:val="32"/>
        </w:rPr>
        <w:t>四是</w:t>
      </w:r>
      <w:r>
        <w:rPr>
          <w:rFonts w:hint="eastAsia" w:ascii="仿宋_GB2312" w:hAnsi="黑体" w:eastAsia="仿宋_GB2312"/>
          <w:bCs/>
          <w:color w:val="000000"/>
          <w:sz w:val="32"/>
          <w:szCs w:val="32"/>
        </w:rPr>
        <w:t>贯彻落实《关于盘活行政事业单位国有资产的指导意见》（财资〔2022〕124号），通过盘活存量资产，推进存量资产充分利用和调剂共享，切实提高现有资产使用效益；以存量调控增量，优化资源配置，推动解决资产重复配置、闲置浪费等问题。</w:t>
      </w:r>
    </w:p>
    <w:p>
      <w:pPr>
        <w:widowControl/>
        <w:spacing w:line="560" w:lineRule="exact"/>
        <w:ind w:firstLine="640" w:firstLineChars="200"/>
        <w:rPr>
          <w:rFonts w:ascii="方正小标宋简体" w:eastAsia="方正小标宋简体"/>
          <w:sz w:val="44"/>
          <w:szCs w:val="44"/>
        </w:rPr>
      </w:pPr>
      <w:r>
        <w:rPr>
          <w:rFonts w:hint="eastAsia" w:ascii="仿宋_GB2312" w:hAnsi="仿宋_GB2312" w:eastAsia="仿宋_GB2312" w:cs="仿宋_GB2312"/>
          <w:color w:val="000000"/>
          <w:sz w:val="32"/>
          <w:szCs w:val="32"/>
        </w:rPr>
        <w:t>各位代表，时代催人奋进,使命诠释担当，党的二十大发出了为全面建设社会主义现代化国家、全面推进中华民族伟大复兴而团结奋斗的动员令。我们将继续深刻领悟“两个确立”的决定性意义，进一步增强“四个意识”、坚定“四个自信”、做到“两个维护”，守正创新、奋发有为，勇于进取、敢于突破，为加快建设经济强县、美丽隆化提供有力财政支撑，在高质量发展的道路上扛起历史使命、展现财政担当！</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1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8E1CA8"/>
    <w:multiLevelType w:val="multilevel"/>
    <w:tmpl w:val="1C8E1CA8"/>
    <w:lvl w:ilvl="0" w:tentative="0">
      <w:start w:val="1"/>
      <w:numFmt w:val="decimal"/>
      <w:pStyle w:val="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EA4"/>
    <w:rsid w:val="000D76E3"/>
    <w:rsid w:val="00110A4E"/>
    <w:rsid w:val="00144079"/>
    <w:rsid w:val="004C138D"/>
    <w:rsid w:val="004D0E1F"/>
    <w:rsid w:val="004F0A99"/>
    <w:rsid w:val="005955E6"/>
    <w:rsid w:val="005C72D5"/>
    <w:rsid w:val="00666C1A"/>
    <w:rsid w:val="00671F83"/>
    <w:rsid w:val="00690EA4"/>
    <w:rsid w:val="00932BF9"/>
    <w:rsid w:val="00AB290E"/>
    <w:rsid w:val="00B607AF"/>
    <w:rsid w:val="00C516A3"/>
    <w:rsid w:val="00EE3A24"/>
    <w:rsid w:val="14BF44DB"/>
    <w:rsid w:val="658D1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List Number"/>
    <w:basedOn w:val="1"/>
    <w:semiHidden/>
    <w:unhideWhenUsed/>
    <w:qFormat/>
    <w:uiPriority w:val="99"/>
    <w:pPr>
      <w:numPr>
        <w:ilvl w:val="0"/>
        <w:numId w:val="1"/>
      </w:numPr>
      <w:ind w:left="360" w:hanging="360" w:hangingChars="200"/>
      <w:contextualSpacing/>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正文列表编号"/>
    <w:basedOn w:val="2"/>
    <w:next w:val="2"/>
    <w:qFormat/>
    <w:uiPriority w:val="0"/>
    <w:pPr>
      <w:widowControl/>
      <w:numPr>
        <w:numId w:val="0"/>
      </w:numPr>
      <w:tabs>
        <w:tab w:val="left" w:pos="360"/>
      </w:tabs>
      <w:spacing w:beforeLines="50" w:line="360" w:lineRule="auto"/>
      <w:ind w:left="1600" w:hanging="200"/>
      <w:jc w:val="left"/>
    </w:pPr>
    <w:rPr>
      <w:rFonts w:ascii="Verdana" w:hAnsi="Verdana" w:eastAsia="宋体" w:cs="Times New Roman"/>
      <w:kern w:val="0"/>
      <w:sz w:val="24"/>
      <w:szCs w:val="28"/>
      <w:lang w:eastAsia="en-US"/>
    </w:rPr>
  </w:style>
  <w:style w:type="character" w:customStyle="1" w:styleId="10">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1618</Words>
  <Characters>1635</Characters>
  <Lines>8</Lines>
  <Paragraphs>2</Paragraphs>
  <TotalTime>1</TotalTime>
  <ScaleCrop>false</ScaleCrop>
  <LinksUpToDate>false</LinksUpToDate>
  <CharactersWithSpaces>1635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2019-04-02T08:59:00Z</dcterms:created>
  <dc:creator>王冰</dc:creator>
  <cp:lastModifiedBy>预算股</cp:lastModifiedBy>
  <dcterms:modified xsi:type="dcterms:W3CDTF">2023-03-04T11:53:28Z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1C6F782D375A4B83A805DBCD15650620</vt:lpwstr>
  </property>
</Properties>
</file>