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28" w:type="dxa"/>
        <w:tblInd w:w="-497"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828"/>
      </w:tblGrid>
      <w:tr w14:paraId="378861C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765" w:hRule="exact"/>
        </w:trPr>
        <w:tc>
          <w:tcPr>
            <w:tcW w:w="9828" w:type="dxa"/>
          </w:tcPr>
          <w:p w14:paraId="06B7798D">
            <w:pPr>
              <w:pStyle w:val="14"/>
              <w:keepNext w:val="0"/>
              <w:keepLines w:val="0"/>
              <w:pageBreakBefore w:val="0"/>
              <w:widowControl/>
              <w:kinsoku/>
              <w:wordWrap/>
              <w:overflowPunct/>
              <w:topLinePunct w:val="0"/>
              <w:autoSpaceDE/>
              <w:autoSpaceDN/>
              <w:bidi w:val="0"/>
              <w:adjustRightInd/>
              <w:snapToGrid w:val="0"/>
              <w:spacing w:before="157" w:beforeLines="50" w:line="280" w:lineRule="exact"/>
              <w:jc w:val="left"/>
              <w:textAlignment w:val="auto"/>
              <w:rPr>
                <w:rFonts w:asciiTheme="majorEastAsia" w:hAnsiTheme="majorEastAsia" w:eastAsiaTheme="majorEastAsia"/>
                <w:b/>
                <w:sz w:val="24"/>
              </w:rPr>
            </w:pPr>
            <w:r>
              <w:rPr>
                <w:rFonts w:hint="eastAsia" w:cs="仿宋" w:asciiTheme="majorEastAsia" w:hAnsiTheme="majorEastAsia" w:eastAsiaTheme="majorEastAsia"/>
                <w:b/>
                <w:sz w:val="28"/>
                <w:szCs w:val="28"/>
                <w:lang w:val="en-US" w:eastAsia="zh-CN"/>
              </w:rPr>
              <w:t>生态环境主管部门</w:t>
            </w:r>
            <w:r>
              <w:rPr>
                <w:rFonts w:hint="eastAsia" w:cs="仿宋" w:asciiTheme="majorEastAsia" w:hAnsiTheme="majorEastAsia" w:eastAsiaTheme="majorEastAsia"/>
                <w:b/>
                <w:sz w:val="28"/>
                <w:szCs w:val="28"/>
              </w:rPr>
              <w:t>审批意见：</w:t>
            </w:r>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rPr>
              <w:t xml:space="preserve">                   </w:t>
            </w:r>
            <w:r>
              <w:rPr>
                <w:rFonts w:hint="eastAsia" w:asciiTheme="majorEastAsia" w:hAnsiTheme="majorEastAsia" w:eastAsiaTheme="majorEastAsia"/>
                <w:b/>
                <w:sz w:val="24"/>
                <w:lang w:val="en-US" w:eastAsia="zh-CN"/>
              </w:rPr>
              <w:t xml:space="preserve">          </w:t>
            </w:r>
            <w:bookmarkStart w:id="0" w:name="_GoBack"/>
            <w:bookmarkEnd w:id="0"/>
            <w:r>
              <w:rPr>
                <w:rFonts w:hint="eastAsia" w:ascii="仿宋" w:hAnsi="仿宋" w:eastAsia="仿宋" w:cs="仿宋"/>
                <w:kern w:val="2"/>
                <w:sz w:val="21"/>
                <w:szCs w:val="21"/>
                <w:lang w:val="en-US" w:eastAsia="zh-CN" w:bidi="ar-SA"/>
              </w:rPr>
              <w:t>隆环评〔2024〕22号</w:t>
            </w:r>
            <w:r>
              <w:rPr>
                <w:rFonts w:hint="eastAsia" w:asciiTheme="majorEastAsia" w:hAnsiTheme="majorEastAsia" w:eastAsiaTheme="majorEastAsia"/>
                <w:b/>
                <w:sz w:val="24"/>
              </w:rPr>
              <w:t xml:space="preserve">                </w:t>
            </w:r>
          </w:p>
          <w:p w14:paraId="458713A0">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sz w:val="21"/>
                <w:szCs w:val="21"/>
                <w:lang w:val="en-US" w:eastAsia="zh-CN"/>
              </w:rPr>
              <w:t xml:space="preserve"> 隆化县顺昌矿业有限公司小乌苏沟破碎站建设项目位于承德市隆化县韩麻营镇小乌苏沟村，厂区中心地理坐标为东经</w:t>
            </w:r>
            <w:r>
              <w:rPr>
                <w:rFonts w:hint="default" w:ascii="仿宋" w:hAnsi="仿宋" w:eastAsia="仿宋" w:cs="仿宋"/>
                <w:sz w:val="21"/>
                <w:szCs w:val="21"/>
                <w:lang w:val="en-US" w:eastAsia="zh-CN"/>
              </w:rPr>
              <w:t>117°49′2</w:t>
            </w: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529</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，北纬</w:t>
            </w:r>
            <w:r>
              <w:rPr>
                <w:rFonts w:hint="default" w:ascii="仿宋" w:hAnsi="仿宋" w:eastAsia="仿宋" w:cs="仿宋"/>
                <w:sz w:val="21"/>
                <w:szCs w:val="21"/>
                <w:lang w:val="en-US" w:eastAsia="zh-CN"/>
              </w:rPr>
              <w:t>41°12′</w:t>
            </w:r>
            <w:r>
              <w:rPr>
                <w:rFonts w:hint="eastAsia" w:ascii="仿宋" w:hAnsi="仿宋" w:eastAsia="仿宋" w:cs="仿宋"/>
                <w:sz w:val="21"/>
                <w:szCs w:val="21"/>
                <w:lang w:val="en-US" w:eastAsia="zh-CN"/>
              </w:rPr>
              <w:t>19</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293</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项目总投资1500万元，环保投资123万元，主要建设内容及规模：总占地面积36亩，总建筑面积16000平方米。其中，新建破碎站车间12000平方米，维修车间50平方米，配电室60平方米，仓储房3290平方米，办公及生活用房600平方米，完善水电配套工程。购置</w:t>
            </w:r>
            <w:r>
              <w:rPr>
                <w:rFonts w:hint="eastAsia" w:ascii="仿宋" w:hAnsi="仿宋" w:eastAsia="仿宋" w:cs="仿宋"/>
                <w:color w:val="191919"/>
                <w:sz w:val="21"/>
                <w:szCs w:val="21"/>
                <w:shd w:val="clear" w:color="auto" w:fill="FFFFFF"/>
                <w:lang w:val="en-US" w:eastAsia="zh-CN"/>
              </w:rPr>
              <w:t>破碎机、中碎圆锥机、细碎圆锥机、振动筛及磁性矿物除铁设备等生产加工设备共36台。年处理原矿石100万吨，年产干选精矿石70万吨，年产砂石骨料30万吨。生产车间不取暖，办公室采用空调取暖。</w:t>
            </w:r>
          </w:p>
          <w:p w14:paraId="460783F5">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一、经审查，项目建设取得了隆化县数据和政务服务局出具的企业投资项目备案信息（备案编号：隆数政投资备〔2024〕114号），符合国家相关产业政策。在严格落实环境影响报告表中提出的各项环境保护措施和要求、采取有效的环境风险防范措施的前提下，该项目“报告表”中所列项目的性质、规模、地点和拟采取的环境保护措施可以作为项目</w:t>
            </w:r>
            <w:r>
              <w:rPr>
                <w:rFonts w:hint="eastAsia" w:ascii="仿宋" w:hAnsi="仿宋" w:eastAsia="仿宋" w:cs="仿宋"/>
                <w:color w:val="191919"/>
                <w:sz w:val="21"/>
                <w:szCs w:val="21"/>
                <w:shd w:val="clear" w:color="auto" w:fill="FFFFFF"/>
                <w:lang w:val="en-US" w:eastAsia="zh-CN"/>
              </w:rPr>
              <w:t>实施依据，并重点做好以下工作：</w:t>
            </w:r>
          </w:p>
          <w:p w14:paraId="1B22C328">
            <w:pPr>
              <w:keepNext w:val="0"/>
              <w:keepLines w:val="0"/>
              <w:pageBreakBefore w:val="0"/>
              <w:numPr>
                <w:ilvl w:val="0"/>
                <w:numId w:val="0"/>
              </w:numPr>
              <w:kinsoku/>
              <w:wordWrap/>
              <w:overflowPunct/>
              <w:topLinePunct w:val="0"/>
              <w:autoSpaceDE/>
              <w:autoSpaceDN/>
              <w:bidi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（一）加强环境管理。</w:t>
            </w:r>
          </w:p>
          <w:p w14:paraId="1DD4A129">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191919"/>
                <w:sz w:val="21"/>
                <w:szCs w:val="21"/>
                <w:shd w:val="clear" w:color="auto" w:fill="FFFFFF"/>
                <w:lang w:val="en-US"/>
              </w:rPr>
            </w:pPr>
            <w:r>
              <w:rPr>
                <w:rFonts w:hint="eastAsia" w:ascii="仿宋" w:hAnsi="仿宋" w:eastAsia="仿宋" w:cs="仿宋"/>
                <w:color w:val="191919"/>
                <w:sz w:val="21"/>
                <w:szCs w:val="21"/>
                <w:shd w:val="clear" w:color="auto" w:fill="FFFFFF"/>
                <w:lang w:val="en-US" w:eastAsia="zh-CN"/>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对原有环境问题整改到位。</w:t>
            </w:r>
          </w:p>
          <w:p w14:paraId="4BA6E851">
            <w:pPr>
              <w:keepNext w:val="0"/>
              <w:keepLines w:val="0"/>
              <w:pageBreakBefore w:val="0"/>
              <w:numPr>
                <w:ilvl w:val="0"/>
                <w:numId w:val="0"/>
              </w:numPr>
              <w:kinsoku/>
              <w:wordWrap/>
              <w:overflowPunct/>
              <w:topLinePunct w:val="0"/>
              <w:autoSpaceDE/>
              <w:autoSpaceDN/>
              <w:bidi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rPr>
              <w:t>（</w:t>
            </w:r>
            <w:r>
              <w:rPr>
                <w:rFonts w:hint="eastAsia" w:ascii="仿宋" w:hAnsi="仿宋" w:eastAsia="仿宋" w:cs="仿宋"/>
                <w:sz w:val="21"/>
                <w:szCs w:val="21"/>
                <w:lang w:val="en-US" w:eastAsia="zh-CN"/>
              </w:rPr>
              <w:t>二）落</w:t>
            </w:r>
            <w:r>
              <w:rPr>
                <w:rFonts w:hint="eastAsia" w:ascii="仿宋" w:hAnsi="仿宋" w:eastAsia="仿宋" w:cs="仿宋"/>
                <w:color w:val="191919"/>
                <w:sz w:val="21"/>
                <w:szCs w:val="21"/>
                <w:shd w:val="clear" w:color="auto" w:fill="FFFFFF"/>
                <w:lang w:val="en-US" w:eastAsia="zh-CN"/>
              </w:rPr>
              <w:t>实各项污染防治措施。</w:t>
            </w:r>
          </w:p>
          <w:p w14:paraId="7464571D">
            <w:pPr>
              <w:keepNext w:val="0"/>
              <w:keepLines w:val="0"/>
              <w:pageBreakBefore w:val="0"/>
              <w:numPr>
                <w:ilvl w:val="0"/>
                <w:numId w:val="0"/>
              </w:numPr>
              <w:kinsoku/>
              <w:wordWrap/>
              <w:overflowPunct/>
              <w:topLinePunct w:val="0"/>
              <w:autoSpaceDE/>
              <w:autoSpaceDN/>
              <w:bidi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1.施工期生活废水设置防渗旱厕，定期清掏，用作农肥，不外排；施工废水集中收集后，泼洒至施工场地用于降尘。盥洗水用作厂区泼洒抑尘，洗车废水循环使用，定期补充新水。</w:t>
            </w:r>
          </w:p>
          <w:p w14:paraId="36810CD8">
            <w:pPr>
              <w:keepNext w:val="0"/>
              <w:keepLines w:val="0"/>
              <w:widowControl/>
              <w:suppressLineNumbers w:val="0"/>
              <w:ind w:firstLine="420" w:firstLineChars="200"/>
              <w:jc w:val="left"/>
              <w:rPr>
                <w:rFonts w:hint="eastAsia" w:ascii="仿宋" w:hAnsi="仿宋" w:eastAsia="仿宋" w:cs="仿宋"/>
                <w:color w:val="0000FF"/>
                <w:sz w:val="21"/>
                <w:szCs w:val="21"/>
                <w:lang w:val="en-US" w:eastAsia="zh-CN"/>
              </w:rPr>
            </w:pPr>
            <w:r>
              <w:rPr>
                <w:rFonts w:hint="eastAsia" w:ascii="仿宋" w:hAnsi="仿宋" w:eastAsia="仿宋" w:cs="仿宋"/>
                <w:color w:val="191919"/>
                <w:sz w:val="21"/>
                <w:szCs w:val="21"/>
                <w:shd w:val="clear" w:color="auto" w:fill="FFFFFF"/>
                <w:lang w:val="en-US" w:eastAsia="zh-CN"/>
              </w:rPr>
              <w:t>2.施工期扬尘排放执行《施工场地扬尘排放标准》（DB13/2934-2019）表1扬尘排放浓度限值。运营期项目受料坑及粗碎废气、中碎及细碎废气、筛分、干选及转运废气收集后送至布袋除尘器，经布袋除尘器处理后，由排气筒排放，排气筒设置高度须符合相关排放标准规定要求，运营期有组织粉尘排放浓度满足《铁矿采选工业污染物排放标准》（</w:t>
            </w:r>
            <w:r>
              <w:rPr>
                <w:rFonts w:hint="default" w:ascii="仿宋" w:hAnsi="仿宋" w:eastAsia="仿宋" w:cs="仿宋"/>
                <w:color w:val="191919"/>
                <w:sz w:val="21"/>
                <w:szCs w:val="21"/>
                <w:shd w:val="clear" w:color="auto" w:fill="FFFFFF"/>
                <w:lang w:val="en-US" w:eastAsia="zh-CN"/>
              </w:rPr>
              <w:t>GB28661-2012</w:t>
            </w:r>
            <w:r>
              <w:rPr>
                <w:rFonts w:hint="eastAsia" w:ascii="仿宋" w:hAnsi="仿宋" w:eastAsia="仿宋" w:cs="仿宋"/>
                <w:color w:val="191919"/>
                <w:sz w:val="21"/>
                <w:szCs w:val="21"/>
                <w:shd w:val="clear" w:color="auto" w:fill="FFFFFF"/>
                <w:lang w:val="en-US" w:eastAsia="zh-CN"/>
              </w:rPr>
              <w:t>）表</w:t>
            </w:r>
            <w:r>
              <w:rPr>
                <w:rFonts w:hint="default" w:ascii="仿宋" w:hAnsi="仿宋" w:eastAsia="仿宋" w:cs="仿宋"/>
                <w:color w:val="191919"/>
                <w:sz w:val="21"/>
                <w:szCs w:val="21"/>
                <w:shd w:val="clear" w:color="auto" w:fill="FFFFFF"/>
                <w:lang w:val="en-US" w:eastAsia="zh-CN"/>
              </w:rPr>
              <w:t>6</w:t>
            </w:r>
            <w:r>
              <w:rPr>
                <w:rFonts w:hint="eastAsia" w:ascii="仿宋" w:hAnsi="仿宋" w:eastAsia="仿宋" w:cs="仿宋"/>
                <w:color w:val="191919"/>
                <w:sz w:val="21"/>
                <w:szCs w:val="21"/>
                <w:shd w:val="clear" w:color="auto" w:fill="FFFFFF"/>
                <w:lang w:val="en-US" w:eastAsia="zh-CN"/>
              </w:rPr>
              <w:t>大气污染物特别排放限值。厂区地面全部硬化，定期对厂区道路覆盖的浮土清理，并定期洒水抑尘，厂区设置洗车平台，车辆进出厂区经洗车平台清洗，运输车辆加盖苫布，采区封闭车间</w:t>
            </w:r>
            <w:r>
              <w:rPr>
                <w:rFonts w:hint="default" w:ascii="仿宋" w:hAnsi="仿宋" w:eastAsia="仿宋" w:cs="仿宋"/>
                <w:color w:val="191919"/>
                <w:sz w:val="21"/>
                <w:szCs w:val="21"/>
                <w:shd w:val="clear" w:color="auto" w:fill="FFFFFF"/>
                <w:lang w:val="en-US" w:eastAsia="zh-CN"/>
              </w:rPr>
              <w:t>+</w:t>
            </w:r>
            <w:r>
              <w:rPr>
                <w:rFonts w:hint="eastAsia" w:ascii="仿宋" w:hAnsi="仿宋" w:eastAsia="仿宋" w:cs="仿宋"/>
                <w:color w:val="191919"/>
                <w:sz w:val="21"/>
                <w:szCs w:val="21"/>
                <w:shd w:val="clear" w:color="auto" w:fill="FFFFFF"/>
                <w:lang w:val="en-US" w:eastAsia="zh-CN"/>
              </w:rPr>
              <w:t>喷淋装置，厂界无组织颗粒物排放执行《铁矿采选工业污染物排放标准》（</w:t>
            </w:r>
            <w:r>
              <w:rPr>
                <w:rFonts w:hint="default" w:ascii="仿宋" w:hAnsi="仿宋" w:eastAsia="仿宋" w:cs="仿宋"/>
                <w:color w:val="191919"/>
                <w:sz w:val="21"/>
                <w:szCs w:val="21"/>
                <w:shd w:val="clear" w:color="auto" w:fill="FFFFFF"/>
                <w:lang w:val="en-US" w:eastAsia="zh-CN"/>
              </w:rPr>
              <w:t>GB28661-2012</w:t>
            </w:r>
            <w:r>
              <w:rPr>
                <w:rFonts w:hint="eastAsia" w:ascii="仿宋" w:hAnsi="仿宋" w:eastAsia="仿宋" w:cs="仿宋"/>
                <w:color w:val="191919"/>
                <w:sz w:val="21"/>
                <w:szCs w:val="21"/>
                <w:shd w:val="clear" w:color="auto" w:fill="FFFFFF"/>
                <w:lang w:val="en-US" w:eastAsia="zh-CN"/>
              </w:rPr>
              <w:t>）表</w:t>
            </w:r>
            <w:r>
              <w:rPr>
                <w:rFonts w:hint="default" w:ascii="仿宋" w:hAnsi="仿宋" w:eastAsia="仿宋" w:cs="仿宋"/>
                <w:color w:val="191919"/>
                <w:sz w:val="21"/>
                <w:szCs w:val="21"/>
                <w:shd w:val="clear" w:color="auto" w:fill="FFFFFF"/>
                <w:lang w:val="en-US" w:eastAsia="zh-CN"/>
              </w:rPr>
              <w:t>7</w:t>
            </w:r>
            <w:r>
              <w:rPr>
                <w:rFonts w:hint="eastAsia" w:ascii="仿宋" w:hAnsi="仿宋" w:eastAsia="仿宋" w:cs="仿宋"/>
                <w:color w:val="191919"/>
                <w:sz w:val="21"/>
                <w:szCs w:val="21"/>
                <w:shd w:val="clear" w:color="auto" w:fill="FFFFFF"/>
                <w:lang w:val="en-US" w:eastAsia="zh-CN"/>
              </w:rPr>
              <w:t>无组织排放监控浓度限值。</w:t>
            </w:r>
          </w:p>
          <w:p w14:paraId="58FF7516">
            <w:pPr>
              <w:keepNext w:val="0"/>
              <w:keepLines w:val="0"/>
              <w:widowControl/>
              <w:suppressLineNumbers w:val="0"/>
              <w:ind w:firstLine="420" w:firstLineChars="200"/>
              <w:jc w:val="left"/>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3.施工期噪声执行《建筑施工场界环境噪声排放标准》（GB12523-2011）中的相应标准要求。运营期生产设备置于封闭车间内，做好基础减振及隔声等措施降低噪声对周边环境的影响，采取在居民区附近通过时减速、禁鸣、夜间不运输等措施，厂界噪声排放执行《工业企业厂界环境噪声排放标准》（GB12348-2008）3类标准要求。</w:t>
            </w:r>
          </w:p>
          <w:p w14:paraId="0B4B6DF5">
            <w:pPr>
              <w:keepNext w:val="0"/>
              <w:keepLines w:val="0"/>
              <w:widowControl/>
              <w:suppressLineNumbers w:val="0"/>
              <w:ind w:firstLine="420" w:firstLineChars="200"/>
              <w:jc w:val="left"/>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4.施工期生活垃圾集中收集后，由当地环卫部门定期清运；建筑垃圾及时清运，在场地内堆存的，应当集中堆放并采取密闭或者遮盖等防尘措施。项目产生的除尘灰、生活垃圾为一般工业固体废物。生活垃圾经收集后送环卫部门指定地点进行处理，除尘灰收集后作为选铁原料使用。一般固体废物执行《一般工业固体废物贮存和填埋污染控制标准》（</w:t>
            </w:r>
            <w:r>
              <w:rPr>
                <w:rFonts w:hint="default" w:ascii="仿宋" w:hAnsi="仿宋" w:eastAsia="仿宋" w:cs="仿宋"/>
                <w:color w:val="191919"/>
                <w:sz w:val="21"/>
                <w:szCs w:val="21"/>
                <w:shd w:val="clear" w:color="auto" w:fill="FFFFFF"/>
                <w:lang w:val="en-US" w:eastAsia="zh-CN"/>
              </w:rPr>
              <w:t>GB18599-2020</w:t>
            </w:r>
            <w:r>
              <w:rPr>
                <w:rFonts w:hint="eastAsia" w:ascii="仿宋" w:hAnsi="仿宋" w:eastAsia="仿宋" w:cs="仿宋"/>
                <w:color w:val="191919"/>
                <w:sz w:val="21"/>
                <w:szCs w:val="21"/>
                <w:shd w:val="clear" w:color="auto" w:fill="FFFFFF"/>
                <w:lang w:val="en-US" w:eastAsia="zh-CN"/>
              </w:rPr>
              <w:t>）的相关规定。生活垃圾执行《中华人民共和国固体废物污染环境防治法》相关规定。废润滑油、废油桶、废弃的含油抹布、手套，暂存于危废间，委托有资质单位处置。危险废物的贮存执行《危险废物贮存污染控制标准》（</w:t>
            </w:r>
            <w:r>
              <w:rPr>
                <w:rFonts w:hint="default" w:ascii="仿宋" w:hAnsi="仿宋" w:eastAsia="仿宋" w:cs="仿宋"/>
                <w:color w:val="191919"/>
                <w:sz w:val="21"/>
                <w:szCs w:val="21"/>
                <w:shd w:val="clear" w:color="auto" w:fill="FFFFFF"/>
                <w:lang w:val="en-US" w:eastAsia="zh-CN"/>
              </w:rPr>
              <w:t>GB18597-2023</w:t>
            </w:r>
            <w:r>
              <w:rPr>
                <w:rFonts w:hint="eastAsia" w:ascii="仿宋" w:hAnsi="仿宋" w:eastAsia="仿宋" w:cs="仿宋"/>
                <w:color w:val="191919"/>
                <w:sz w:val="21"/>
                <w:szCs w:val="21"/>
                <w:shd w:val="clear" w:color="auto" w:fill="FFFFFF"/>
                <w:lang w:val="en-US" w:eastAsia="zh-CN"/>
              </w:rPr>
              <w:t>）的相关规定。</w:t>
            </w:r>
          </w:p>
          <w:p w14:paraId="394A0D92">
            <w:pPr>
              <w:keepNext w:val="0"/>
              <w:keepLines w:val="0"/>
              <w:widowControl/>
              <w:suppressLineNumbers w:val="0"/>
              <w:ind w:firstLine="420" w:firstLineChars="200"/>
              <w:jc w:val="left"/>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5.采取分区防控措施，做好防渗处理。为避免环境事故发生，建设单位按照安全、消防等部门要求落实各项防范措施，并在日常运行管理过程当中增强环境风险意识，制定切实可行的环境风险事故应急预案，当出现事故时，可及时采取应急措施，以控制事故和减少对环境造成的危害。</w:t>
            </w:r>
          </w:p>
          <w:p w14:paraId="05C4DDB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6.项目涉及物料的铀（钍）系单个核素活度浓度小于 </w:t>
            </w:r>
            <w:r>
              <w:rPr>
                <w:rFonts w:hint="default" w:ascii="仿宋" w:hAnsi="仿宋" w:eastAsia="仿宋" w:cs="仿宋"/>
                <w:kern w:val="2"/>
                <w:sz w:val="21"/>
                <w:szCs w:val="21"/>
                <w:lang w:val="en-US" w:eastAsia="zh-CN" w:bidi="ar-SA"/>
              </w:rPr>
              <w:t>1Bq/g</w:t>
            </w:r>
            <w:r>
              <w:rPr>
                <w:rFonts w:hint="eastAsia" w:ascii="仿宋" w:hAnsi="仿宋" w:eastAsia="仿宋" w:cs="仿宋"/>
                <w:kern w:val="2"/>
                <w:sz w:val="21"/>
                <w:szCs w:val="21"/>
                <w:lang w:val="en-US" w:eastAsia="zh-CN" w:bidi="ar-SA"/>
              </w:rPr>
              <w:t>，无需开展辐射环境影响评价专篇。</w:t>
            </w:r>
          </w:p>
          <w:p w14:paraId="6C536AC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sz w:val="21"/>
                <w:szCs w:val="21"/>
              </w:rPr>
            </w:pPr>
            <w:r>
              <w:rPr>
                <w:rFonts w:hint="eastAsia" w:ascii="仿宋" w:hAnsi="仿宋" w:eastAsia="仿宋" w:cs="仿宋"/>
                <w:sz w:val="21"/>
                <w:szCs w:val="21"/>
                <w:lang w:val="en-US" w:eastAsia="zh-CN"/>
              </w:rPr>
              <w:t>二、项目建设必须严格执行环境保护设施与主体工程同时设计、同时施工、同时投入使用的环保“三同时”制度。项目建成后，在调试生产前要对照相关要求落实好排污许可事项，并按规定程序实施竣工环境保护验收。</w:t>
            </w:r>
            <w:r>
              <w:rPr>
                <w:rFonts w:hint="eastAsia" w:ascii="仿宋" w:hAnsi="仿宋" w:eastAsia="仿宋" w:cs="仿宋"/>
                <w:sz w:val="21"/>
                <w:szCs w:val="21"/>
              </w:rPr>
              <w:t>项目投运后，控制全厂</w:t>
            </w:r>
            <w:r>
              <w:rPr>
                <w:rFonts w:hint="eastAsia" w:ascii="仿宋" w:hAnsi="仿宋" w:eastAsia="仿宋" w:cs="仿宋"/>
                <w:b w:val="0"/>
                <w:bCs w:val="0"/>
                <w:sz w:val="21"/>
                <w:szCs w:val="21"/>
              </w:rPr>
              <w:t>COD、NH</w:t>
            </w:r>
            <w:r>
              <w:rPr>
                <w:rFonts w:hint="eastAsia" w:ascii="仿宋" w:hAnsi="仿宋" w:eastAsia="仿宋" w:cs="仿宋"/>
                <w:b w:val="0"/>
                <w:bCs w:val="0"/>
                <w:sz w:val="21"/>
                <w:szCs w:val="21"/>
                <w:vertAlign w:val="subscript"/>
              </w:rPr>
              <w:t>3</w:t>
            </w:r>
            <w:r>
              <w:rPr>
                <w:rFonts w:hint="eastAsia" w:ascii="仿宋" w:hAnsi="仿宋" w:eastAsia="仿宋" w:cs="仿宋"/>
                <w:b w:val="0"/>
                <w:bCs w:val="0"/>
                <w:sz w:val="21"/>
                <w:szCs w:val="21"/>
              </w:rPr>
              <w:t>-N、SO</w:t>
            </w:r>
            <w:r>
              <w:rPr>
                <w:rFonts w:hint="eastAsia" w:ascii="仿宋" w:hAnsi="仿宋" w:eastAsia="仿宋" w:cs="仿宋"/>
                <w:b w:val="0"/>
                <w:bCs w:val="0"/>
                <w:sz w:val="21"/>
                <w:szCs w:val="21"/>
                <w:vertAlign w:val="subscript"/>
              </w:rPr>
              <w:t>2</w:t>
            </w:r>
            <w:r>
              <w:rPr>
                <w:rFonts w:hint="eastAsia" w:ascii="仿宋" w:hAnsi="仿宋" w:eastAsia="仿宋" w:cs="仿宋"/>
                <w:b w:val="0"/>
                <w:bCs w:val="0"/>
                <w:sz w:val="21"/>
                <w:szCs w:val="21"/>
              </w:rPr>
              <w:t>、NO</w:t>
            </w:r>
            <w:r>
              <w:rPr>
                <w:rFonts w:hint="eastAsia" w:ascii="仿宋" w:hAnsi="仿宋" w:eastAsia="仿宋" w:cs="仿宋"/>
                <w:b w:val="0"/>
                <w:bCs w:val="0"/>
                <w:sz w:val="21"/>
                <w:szCs w:val="21"/>
                <w:vertAlign w:val="subscript"/>
              </w:rPr>
              <w:t>x</w:t>
            </w:r>
            <w:r>
              <w:rPr>
                <w:rFonts w:hint="eastAsia" w:ascii="仿宋" w:hAnsi="仿宋" w:eastAsia="仿宋" w:cs="仿宋"/>
                <w:b w:val="0"/>
                <w:bCs w:val="0"/>
                <w:sz w:val="21"/>
                <w:szCs w:val="21"/>
              </w:rPr>
              <w:t>年排放量全部为0吨。</w:t>
            </w:r>
          </w:p>
          <w:p w14:paraId="57C849E3">
            <w:pPr>
              <w:ind w:firstLine="420" w:firstLineChars="200"/>
              <w:rPr>
                <w:rFonts w:hint="eastAsia" w:ascii="Times New Roman" w:hAnsi="Times New Roman" w:eastAsia="宋体" w:cs="Times New Roman"/>
                <w:kern w:val="2"/>
                <w:sz w:val="21"/>
                <w:szCs w:val="24"/>
                <w:lang w:val="en-US" w:eastAsia="zh-CN" w:bidi="ar-SA"/>
              </w:rPr>
            </w:pPr>
            <w:r>
              <w:rPr>
                <w:rFonts w:hint="eastAsia" w:ascii="仿宋" w:hAnsi="仿宋" w:eastAsia="仿宋" w:cs="仿宋"/>
                <w:b w:val="0"/>
                <w:bCs w:val="0"/>
                <w:kern w:val="2"/>
                <w:sz w:val="21"/>
                <w:szCs w:val="21"/>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14:paraId="4A8E1FE0">
            <w:pPr>
              <w:ind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经办人：                                                        2024年12月4日</w:t>
            </w:r>
          </w:p>
          <w:p w14:paraId="5D8EBC69">
            <w:pPr>
              <w:pStyle w:val="9"/>
            </w:pPr>
          </w:p>
        </w:tc>
      </w:tr>
    </w:tbl>
    <w:p w14:paraId="7830FBB0">
      <w:pPr>
        <w:rPr>
          <w:rFonts w:hint="eastAsia" w:eastAsia="宋体"/>
          <w:lang w:eastAsia="zh-CN"/>
        </w:rPr>
      </w:pPr>
    </w:p>
    <w:sectPr>
      <w:pgSz w:w="11906" w:h="16838"/>
      <w:pgMar w:top="1043" w:right="1633" w:bottom="121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41173"/>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16463D"/>
    <w:rsid w:val="03C35590"/>
    <w:rsid w:val="04E86BAA"/>
    <w:rsid w:val="05D71850"/>
    <w:rsid w:val="062E13DD"/>
    <w:rsid w:val="0639036B"/>
    <w:rsid w:val="07F5531E"/>
    <w:rsid w:val="07F6059C"/>
    <w:rsid w:val="08C001F8"/>
    <w:rsid w:val="093508AC"/>
    <w:rsid w:val="0B8A14FA"/>
    <w:rsid w:val="0BB357F1"/>
    <w:rsid w:val="0C7056C4"/>
    <w:rsid w:val="0DCB4E1F"/>
    <w:rsid w:val="0E786652"/>
    <w:rsid w:val="0EA520AE"/>
    <w:rsid w:val="0F2637C4"/>
    <w:rsid w:val="0FF22FD6"/>
    <w:rsid w:val="10BB099D"/>
    <w:rsid w:val="10E220C6"/>
    <w:rsid w:val="116D01DE"/>
    <w:rsid w:val="11D905EA"/>
    <w:rsid w:val="120759EA"/>
    <w:rsid w:val="125123AD"/>
    <w:rsid w:val="12EA0B44"/>
    <w:rsid w:val="14F70021"/>
    <w:rsid w:val="15212FE0"/>
    <w:rsid w:val="17805F80"/>
    <w:rsid w:val="183C2C81"/>
    <w:rsid w:val="185C6797"/>
    <w:rsid w:val="188477FD"/>
    <w:rsid w:val="18DB3A02"/>
    <w:rsid w:val="19263CD4"/>
    <w:rsid w:val="1A491BBF"/>
    <w:rsid w:val="1A820940"/>
    <w:rsid w:val="1B0272A5"/>
    <w:rsid w:val="1BEE01D9"/>
    <w:rsid w:val="1D773D97"/>
    <w:rsid w:val="1DD9198E"/>
    <w:rsid w:val="1DF00D78"/>
    <w:rsid w:val="1ED4072F"/>
    <w:rsid w:val="1F16680D"/>
    <w:rsid w:val="1F983897"/>
    <w:rsid w:val="210B723E"/>
    <w:rsid w:val="21393F20"/>
    <w:rsid w:val="2277712A"/>
    <w:rsid w:val="22A15DB2"/>
    <w:rsid w:val="235545C6"/>
    <w:rsid w:val="23CE2AF6"/>
    <w:rsid w:val="247B1229"/>
    <w:rsid w:val="24F030CE"/>
    <w:rsid w:val="253D5533"/>
    <w:rsid w:val="258874A7"/>
    <w:rsid w:val="259B3EDE"/>
    <w:rsid w:val="25F0248B"/>
    <w:rsid w:val="26687D32"/>
    <w:rsid w:val="27463420"/>
    <w:rsid w:val="287C55B3"/>
    <w:rsid w:val="2A1B37AD"/>
    <w:rsid w:val="2A5D28F9"/>
    <w:rsid w:val="2DC51C24"/>
    <w:rsid w:val="2DE54AAF"/>
    <w:rsid w:val="2E4A767C"/>
    <w:rsid w:val="2FA62982"/>
    <w:rsid w:val="2FA90493"/>
    <w:rsid w:val="2FD55413"/>
    <w:rsid w:val="32C215A3"/>
    <w:rsid w:val="32E14E18"/>
    <w:rsid w:val="341C43C2"/>
    <w:rsid w:val="35CB645F"/>
    <w:rsid w:val="36430044"/>
    <w:rsid w:val="36527A66"/>
    <w:rsid w:val="367968D7"/>
    <w:rsid w:val="36EF006E"/>
    <w:rsid w:val="37213D29"/>
    <w:rsid w:val="380A60B3"/>
    <w:rsid w:val="391F541C"/>
    <w:rsid w:val="3A77227A"/>
    <w:rsid w:val="3AA86B61"/>
    <w:rsid w:val="3ABC555D"/>
    <w:rsid w:val="3CE34EAB"/>
    <w:rsid w:val="3D5D76F7"/>
    <w:rsid w:val="3DFC1E32"/>
    <w:rsid w:val="3DFC3CBF"/>
    <w:rsid w:val="3E057984"/>
    <w:rsid w:val="3E0F14D8"/>
    <w:rsid w:val="3E104E77"/>
    <w:rsid w:val="3E900D92"/>
    <w:rsid w:val="3E927EF8"/>
    <w:rsid w:val="415C54DB"/>
    <w:rsid w:val="432917FA"/>
    <w:rsid w:val="439A3BBE"/>
    <w:rsid w:val="43DE7A56"/>
    <w:rsid w:val="445A4283"/>
    <w:rsid w:val="44B22B0D"/>
    <w:rsid w:val="46FD256C"/>
    <w:rsid w:val="470664E9"/>
    <w:rsid w:val="477311C9"/>
    <w:rsid w:val="48D54C71"/>
    <w:rsid w:val="4948389E"/>
    <w:rsid w:val="4A1726EE"/>
    <w:rsid w:val="4A303725"/>
    <w:rsid w:val="4A741418"/>
    <w:rsid w:val="4C4D73A7"/>
    <w:rsid w:val="4C5C7478"/>
    <w:rsid w:val="4D1D4C18"/>
    <w:rsid w:val="4E6D7FFF"/>
    <w:rsid w:val="4ED65758"/>
    <w:rsid w:val="5020160B"/>
    <w:rsid w:val="50C65266"/>
    <w:rsid w:val="51462EE1"/>
    <w:rsid w:val="53642102"/>
    <w:rsid w:val="537A1E73"/>
    <w:rsid w:val="54041659"/>
    <w:rsid w:val="54F61A33"/>
    <w:rsid w:val="55637F7F"/>
    <w:rsid w:val="556666D5"/>
    <w:rsid w:val="56100BFC"/>
    <w:rsid w:val="564D059A"/>
    <w:rsid w:val="593149B9"/>
    <w:rsid w:val="59512C6F"/>
    <w:rsid w:val="5A787724"/>
    <w:rsid w:val="5B1F1B1C"/>
    <w:rsid w:val="5E9B1D0C"/>
    <w:rsid w:val="5F523A71"/>
    <w:rsid w:val="60A46881"/>
    <w:rsid w:val="60B96269"/>
    <w:rsid w:val="62C02D4E"/>
    <w:rsid w:val="6317780B"/>
    <w:rsid w:val="63497F31"/>
    <w:rsid w:val="64245A29"/>
    <w:rsid w:val="64DA405D"/>
    <w:rsid w:val="658E6283"/>
    <w:rsid w:val="65C3030C"/>
    <w:rsid w:val="66E40073"/>
    <w:rsid w:val="670923BA"/>
    <w:rsid w:val="682C72B2"/>
    <w:rsid w:val="68541F7E"/>
    <w:rsid w:val="69F14EF3"/>
    <w:rsid w:val="6A7D13F3"/>
    <w:rsid w:val="6C4106CC"/>
    <w:rsid w:val="6C773F36"/>
    <w:rsid w:val="6CFE0DDA"/>
    <w:rsid w:val="6D52540F"/>
    <w:rsid w:val="6D6949EA"/>
    <w:rsid w:val="6D8967FD"/>
    <w:rsid w:val="6DF254D4"/>
    <w:rsid w:val="6E590CDB"/>
    <w:rsid w:val="70767FAF"/>
    <w:rsid w:val="70CB2118"/>
    <w:rsid w:val="71B44793"/>
    <w:rsid w:val="71D31BA0"/>
    <w:rsid w:val="72405D25"/>
    <w:rsid w:val="734D1831"/>
    <w:rsid w:val="75276451"/>
    <w:rsid w:val="754B3E4C"/>
    <w:rsid w:val="75627F33"/>
    <w:rsid w:val="764B55B9"/>
    <w:rsid w:val="76C93DE9"/>
    <w:rsid w:val="76D8421F"/>
    <w:rsid w:val="77F233BD"/>
    <w:rsid w:val="785C4770"/>
    <w:rsid w:val="7A3D2CC4"/>
    <w:rsid w:val="7A735214"/>
    <w:rsid w:val="7B423469"/>
    <w:rsid w:val="7BEC14D9"/>
    <w:rsid w:val="7C0F1005"/>
    <w:rsid w:val="7C4740BA"/>
    <w:rsid w:val="7DD03374"/>
    <w:rsid w:val="7F355C97"/>
    <w:rsid w:val="7F5B485B"/>
    <w:rsid w:val="7F92389C"/>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2"/>
    <w:basedOn w:val="1"/>
    <w:next w:val="1"/>
    <w:qFormat/>
    <w:uiPriority w:val="0"/>
    <w:pPr>
      <w:ind w:left="240"/>
    </w:pPr>
    <w:rPr>
      <w:rFonts w:ascii="Calibri" w:hAnsi="Calibri"/>
      <w:smallCaps/>
      <w:sz w:val="20"/>
    </w:rPr>
  </w:style>
  <w:style w:type="character" w:styleId="8">
    <w:name w:val="Strong"/>
    <w:basedOn w:val="7"/>
    <w:qFormat/>
    <w:uiPriority w:val="0"/>
    <w:rPr>
      <w:b/>
    </w:rPr>
  </w:style>
  <w:style w:type="paragraph" w:customStyle="1" w:styleId="9">
    <w:name w:val="样式 样式 样式 四号 左侧:  1.53 厘米 + 首行缩进:  2 字符 + 居中 左侧:  2 字符 首行缩进:  2..."/>
    <w:basedOn w:val="10"/>
    <w:qFormat/>
    <w:uiPriority w:val="0"/>
    <w:pPr>
      <w:adjustRightInd w:val="0"/>
      <w:ind w:left="200" w:leftChars="200"/>
      <w:jc w:val="center"/>
    </w:pPr>
    <w:rPr>
      <w:w w:val="90"/>
      <w:sz w:val="28"/>
      <w:szCs w:val="20"/>
    </w:rPr>
  </w:style>
  <w:style w:type="paragraph" w:customStyle="1" w:styleId="10">
    <w:name w:val="样式 样式 四号 左侧:  1.53 厘米 + 首行缩进:  2 字符"/>
    <w:basedOn w:val="11"/>
    <w:qFormat/>
    <w:uiPriority w:val="0"/>
    <w:pPr>
      <w:ind w:left="200" w:leftChars="200"/>
    </w:pPr>
    <w:rPr>
      <w:szCs w:val="20"/>
    </w:rPr>
  </w:style>
  <w:style w:type="paragraph" w:customStyle="1" w:styleId="11">
    <w:name w:val="样式 四号 左侧:  1.53 厘米"/>
    <w:basedOn w:val="1"/>
    <w:qFormat/>
    <w:uiPriority w:val="0"/>
    <w:pPr>
      <w:adjustRightInd w:val="0"/>
    </w:pPr>
    <w:rPr>
      <w:w w:val="90"/>
      <w:sz w:val="28"/>
      <w:szCs w:val="28"/>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1754</Words>
  <Characters>1899</Characters>
  <Lines>9</Lines>
  <Paragraphs>2</Paragraphs>
  <TotalTime>15</TotalTime>
  <ScaleCrop>false</ScaleCrop>
  <LinksUpToDate>false</LinksUpToDate>
  <CharactersWithSpaces>2005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2022-05-25T02:04:00Z</cp:lastPrinted>
  <dcterms:modified xsi:type="dcterms:W3CDTF">2024-11-28T03:23:58Z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C7D5036CD2794381A3611AD522CDD8CA</vt:lpwstr>
  </property>
</Properties>
</file>