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s="Tahoma"/>
          <w:kern w:val="0"/>
          <w:sz w:val="44"/>
          <w:szCs w:val="44"/>
          <w:lang w:eastAsia="zh-CN"/>
        </w:rPr>
      </w:pPr>
      <w:r>
        <w:rPr>
          <w:rFonts w:hint="eastAsia" w:ascii="方正小标宋_GBK" w:hAnsi="宋体" w:eastAsia="方正小标宋_GBK" w:cs="Tahoma"/>
          <w:kern w:val="0"/>
          <w:sz w:val="44"/>
          <w:szCs w:val="44"/>
          <w:lang w:val="en-US" w:eastAsia="zh-CN"/>
        </w:rPr>
        <w:t>2023</w:t>
      </w:r>
      <w:r>
        <w:rPr>
          <w:rFonts w:hint="eastAsia" w:ascii="方正小标宋_GBK" w:hAnsi="宋体" w:eastAsia="方正小标宋_GBK" w:cs="Tahoma"/>
          <w:kern w:val="0"/>
          <w:sz w:val="44"/>
          <w:szCs w:val="44"/>
        </w:rPr>
        <w:t>年度</w:t>
      </w:r>
      <w:r>
        <w:rPr>
          <w:rFonts w:hint="eastAsia" w:ascii="方正小标宋_GBK" w:hAnsi="宋体" w:eastAsia="方正小标宋_GBK" w:cs="Tahoma"/>
          <w:kern w:val="0"/>
          <w:sz w:val="44"/>
          <w:szCs w:val="44"/>
          <w:lang w:eastAsia="zh-CN"/>
        </w:rPr>
        <w:t>隆化县公安局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cs="Times New Roman"/>
          <w:sz w:val="44"/>
          <w:szCs w:val="44"/>
        </w:rPr>
      </w:pPr>
      <w:r>
        <w:rPr>
          <w:rFonts w:hint="eastAsia" w:ascii="方正小标宋_GBK" w:hAnsi="宋体" w:eastAsia="方正小标宋_GBK" w:cs="Tahoma"/>
          <w:kern w:val="0"/>
          <w:sz w:val="44"/>
          <w:szCs w:val="44"/>
        </w:rPr>
        <w:t>项目</w:t>
      </w:r>
      <w:r>
        <w:rPr>
          <w:rFonts w:hint="eastAsia" w:ascii="方正小标宋_GBK" w:hAnsi="宋体" w:eastAsia="方正小标宋_GBK" w:cs="Times New Roman"/>
          <w:sz w:val="44"/>
          <w:szCs w:val="44"/>
        </w:rPr>
        <w:t>绩效自评工作报告</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ascii="仿宋_GB2312" w:hAnsi="宋体" w:eastAsia="仿宋_GB2312" w:cs="Times New Roman"/>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绩效自评工作组织开展情况</w:t>
      </w:r>
    </w:p>
    <w:p>
      <w:pPr>
        <w:adjustRightInd w:val="0"/>
        <w:snapToGrid w:val="0"/>
        <w:spacing w:line="540" w:lineRule="atLeas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严格落实《</w:t>
      </w:r>
      <w:r>
        <w:rPr>
          <w:rFonts w:hint="eastAsia" w:ascii="仿宋_GB2312" w:hAnsi="仿宋_GB2312" w:eastAsia="仿宋_GB2312" w:cs="仿宋_GB2312"/>
          <w:bCs/>
          <w:kern w:val="0"/>
          <w:sz w:val="32"/>
          <w:szCs w:val="32"/>
          <w:lang w:eastAsia="zh-CN"/>
        </w:rPr>
        <w:t>中华人民共和国</w:t>
      </w:r>
      <w:bookmarkStart w:id="0" w:name="_GoBack"/>
      <w:bookmarkEnd w:id="0"/>
      <w:r>
        <w:rPr>
          <w:rFonts w:hint="eastAsia" w:ascii="仿宋_GB2312" w:hAnsi="仿宋_GB2312" w:eastAsia="仿宋_GB2312" w:cs="仿宋_GB2312"/>
          <w:bCs/>
          <w:kern w:val="0"/>
          <w:sz w:val="32"/>
          <w:szCs w:val="32"/>
        </w:rPr>
        <w:t>预算法》及省、市绩效管理工作的有关规定，进一步规范财政资金的管理，强化财政支出绩效理念，提升部门责任意识，提高资金使用效益</w:t>
      </w:r>
      <w:r>
        <w:rPr>
          <w:rFonts w:hint="eastAsia" w:ascii="仿宋_GB2312" w:hAnsi="仿宋_GB2312" w:eastAsia="仿宋_GB2312" w:cs="仿宋_GB2312"/>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bCs/>
          <w:kern w:val="0"/>
          <w:sz w:val="32"/>
          <w:szCs w:val="32"/>
          <w:lang w:val="en-US" w:eastAsia="zh-CN"/>
        </w:rPr>
        <w:t>我单位先成立领导小组、制定自评方案，再对照自查、计算自评分数，最后撰写评价报告、查找问题、整改问题。</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二、绩效目标实现情况</w:t>
      </w:r>
    </w:p>
    <w:p>
      <w:pPr>
        <w:adjustRightInd w:val="0"/>
        <w:snapToGrid w:val="0"/>
        <w:spacing w:line="540" w:lineRule="atLeas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我单位目标设定完成较好职责明确、活动合规合理、目标管理创新、达到目标值；预算配置情况较好，财政供养人员控制率和三公经费变动率及重点支出安排率达到目标值，完成情况较好。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三、绩效目标设定质量情况</w:t>
      </w:r>
    </w:p>
    <w:p>
      <w:pPr>
        <w:adjustRightInd w:val="0"/>
        <w:snapToGrid w:val="0"/>
        <w:spacing w:line="540" w:lineRule="atLeas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预算完成率、预算调整率、结转结余率、公用经费率、三公经费控制率和政府采购执行率都达到目标值，结转结余变动率和资金支付进度率稍有欠缺。</w:t>
      </w:r>
    </w:p>
    <w:p>
      <w:pPr>
        <w:adjustRightInd w:val="0"/>
        <w:snapToGrid w:val="0"/>
        <w:spacing w:line="540" w:lineRule="atLeas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预算管理的制度健全、资金使用合规、及时进行预决算信息的公开，基础信息完善。资产管理制度健全、资产管理完全、固定资产利用率达到目标值、预算绩效监控率达到目标值。</w:t>
      </w:r>
    </w:p>
    <w:p>
      <w:pPr>
        <w:adjustRightInd w:val="0"/>
        <w:snapToGrid w:val="0"/>
        <w:spacing w:line="540" w:lineRule="atLeas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支出绩效情况分析</w:t>
      </w:r>
    </w:p>
    <w:p>
      <w:pPr>
        <w:adjustRightInd w:val="0"/>
        <w:snapToGrid w:val="0"/>
        <w:spacing w:line="540" w:lineRule="atLeas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项目实际完成率、质量达标率、重点工作办结率、部门绩效自评项目占比率都能达到目标值，完成较好。</w:t>
      </w:r>
    </w:p>
    <w:p>
      <w:pPr>
        <w:adjustRightInd w:val="0"/>
        <w:snapToGrid w:val="0"/>
        <w:spacing w:line="540" w:lineRule="atLeas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效果绩效情况分析</w:t>
      </w:r>
    </w:p>
    <w:p>
      <w:pPr>
        <w:adjustRightInd w:val="0"/>
        <w:snapToGrid w:val="0"/>
        <w:spacing w:line="540" w:lineRule="atLeas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监督发现违规率为0、部门预算绩效管理考核评价完成较好、评价结果应用达到目标值。部门按要求对社会公开绩效评价结果。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rPr>
      </w:pPr>
      <w:r>
        <w:rPr>
          <w:rFonts w:hint="eastAsia" w:ascii="仿宋_GB2312" w:hAnsi="仿宋_GB2312" w:eastAsia="仿宋_GB2312" w:cs="仿宋_GB2312"/>
          <w:bCs/>
          <w:kern w:val="0"/>
          <w:sz w:val="32"/>
          <w:szCs w:val="32"/>
          <w:lang w:val="en-US" w:eastAsia="zh-CN"/>
        </w:rPr>
        <w:t>部门将预算绩效管理工作开展情况向同级政府、人大等部门报告。社会公众满意度较高。</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四、整改措施及结果应用</w:t>
      </w:r>
    </w:p>
    <w:p>
      <w:pPr>
        <w:adjustRightInd w:val="0"/>
        <w:snapToGrid w:val="0"/>
        <w:spacing w:line="540" w:lineRule="atLeas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在今后的工作中，我局将严格落实上级相关指示要求，合理合法的运用资金，使绩效目标执行正常，提升部门责任意识，对支出进度慢和偏离目标的项目进行督促整改，确保绩效目标如期实现，不断提高财政资金运行效率。</w:t>
      </w:r>
    </w:p>
    <w:p>
      <w:pPr>
        <w:keepNext w:val="0"/>
        <w:keepLines w:val="0"/>
        <w:pageBreakBefore w:val="0"/>
        <w:widowControl w:val="0"/>
        <w:kinsoku/>
        <w:wordWrap/>
        <w:overflowPunct/>
        <w:topLinePunct w:val="0"/>
        <w:autoSpaceDE/>
        <w:autoSpaceDN/>
        <w:bidi w:val="0"/>
        <w:adjustRightInd/>
        <w:snapToGrid w:val="0"/>
        <w:spacing w:line="540" w:lineRule="exact"/>
        <w:ind w:firstLine="420" w:firstLineChars="200"/>
        <w:textAlignment w:val="auto"/>
        <w:rPr>
          <w:rFonts w:ascii="仿宋_GB2312" w:hAnsi="Times New Roman" w:eastAsia="仿宋_GB2312" w:cs="Times New Roman"/>
        </w:rPr>
      </w:pPr>
    </w:p>
    <w:p/>
    <w:sectPr>
      <w:pgSz w:w="11906" w:h="16838"/>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A4F86"/>
    <w:multiLevelType w:val="singleLevel"/>
    <w:tmpl w:val="9CAA4F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A4018"/>
    <w:rsid w:val="04C87066"/>
    <w:rsid w:val="2E5274A6"/>
    <w:rsid w:val="35AA4018"/>
    <w:rsid w:val="5C2F3B59"/>
    <w:rsid w:val="6BA8732E"/>
    <w:rsid w:val="7F94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2024-04-16T02:17:00Z</dcterms:created>
  <dc:creator>Administrator</dc:creator>
  <cp:lastModifiedBy>Administrator</cp:lastModifiedBy>
  <dcterms:modified xsi:type="dcterms:W3CDTF">2024-06-17T08:23:40Z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94251F3CB7EB48CF993A9C035E839103</vt:lpwstr>
  </property>
</Properties>
</file>