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D5" w:rsidRDefault="005C72D5" w:rsidP="005C72D5">
      <w:pPr>
        <w:adjustRightInd w:val="0"/>
        <w:snapToGrid w:val="0"/>
        <w:spacing w:line="30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F71C5C">
        <w:rPr>
          <w:rFonts w:ascii="华文中宋" w:eastAsia="华文中宋" w:hAnsi="华文中宋" w:hint="eastAsia"/>
          <w:b/>
          <w:sz w:val="44"/>
          <w:szCs w:val="44"/>
        </w:rPr>
        <w:t>财政局20</w:t>
      </w:r>
      <w:r w:rsidR="004C138D">
        <w:rPr>
          <w:rFonts w:ascii="华文中宋" w:eastAsia="华文中宋" w:hAnsi="华文中宋"/>
          <w:b/>
          <w:sz w:val="44"/>
          <w:szCs w:val="44"/>
        </w:rPr>
        <w:t>20</w:t>
      </w:r>
      <w:r w:rsidRPr="00F71C5C">
        <w:rPr>
          <w:rFonts w:ascii="华文中宋" w:eastAsia="华文中宋" w:hAnsi="华文中宋" w:hint="eastAsia"/>
          <w:b/>
          <w:sz w:val="44"/>
          <w:szCs w:val="44"/>
        </w:rPr>
        <w:t>年度重点工作</w:t>
      </w:r>
    </w:p>
    <w:p w:rsidR="005C72D5" w:rsidRDefault="005C72D5" w:rsidP="005C72D5">
      <w:pPr>
        <w:adjustRightInd w:val="0"/>
        <w:snapToGrid w:val="0"/>
        <w:spacing w:line="300" w:lineRule="auto"/>
        <w:rPr>
          <w:rFonts w:ascii="仿宋_GB2312" w:eastAsia="仿宋_GB2312" w:hAnsi="华文中宋"/>
          <w:b/>
          <w:sz w:val="32"/>
          <w:szCs w:val="32"/>
        </w:rPr>
      </w:pPr>
    </w:p>
    <w:p w:rsidR="004C138D" w:rsidRPr="004C138D" w:rsidRDefault="004C138D" w:rsidP="004C138D">
      <w:pPr>
        <w:spacing w:line="560" w:lineRule="exact"/>
        <w:ind w:firstLine="624"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C138D">
        <w:rPr>
          <w:rFonts w:ascii="仿宋_GB2312" w:eastAsia="仿宋_GB2312" w:hAnsi="楷体" w:cs="宋体"/>
          <w:color w:val="000000"/>
          <w:kern w:val="0"/>
          <w:sz w:val="32"/>
          <w:szCs w:val="32"/>
        </w:rPr>
        <w:t>2020年，我们将认真落实县委、县人大决策部署及工作要求，围绕上述预算安排，扎实做好各项重点工作，确保完成全年预期目标。</w:t>
      </w:r>
    </w:p>
    <w:p w:rsidR="004C138D" w:rsidRPr="004C138D" w:rsidRDefault="004C138D" w:rsidP="004C138D">
      <w:pPr>
        <w:spacing w:line="560" w:lineRule="exact"/>
        <w:ind w:firstLine="624"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C138D">
        <w:rPr>
          <w:rFonts w:ascii="仿宋_GB2312" w:eastAsia="仿宋_GB2312" w:hAnsi="楷体" w:cs="宋体" w:hint="eastAsia"/>
          <w:b/>
          <w:color w:val="000000"/>
          <w:kern w:val="0"/>
          <w:sz w:val="32"/>
          <w:szCs w:val="32"/>
        </w:rPr>
        <w:t>（一）着力推进依法依规理财。</w:t>
      </w:r>
      <w:r w:rsidRPr="004C138D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一是全力组织收入。依托综合治税“数字隆化智能管税平台”，强化税源分析，依法依规组织好财政收入，严防“跑冒滴漏”现象发生，确保应收尽收。同时继续加大财源培树，加快向质量型、效益型转变，继续提高税收总量和质量。二是严格预算约束。严格执行《</w:t>
      </w:r>
      <w:r w:rsidR="005445CD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中华人民共和国</w:t>
      </w:r>
      <w:r w:rsidRPr="004C138D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预算法》</w:t>
      </w:r>
      <w:r w:rsidRPr="004C138D">
        <w:rPr>
          <w:rFonts w:ascii="仿宋_GB2312" w:eastAsia="仿宋_GB2312" w:hAnsi="楷体" w:cs="宋体"/>
          <w:color w:val="000000"/>
          <w:kern w:val="0"/>
          <w:sz w:val="32"/>
          <w:szCs w:val="32"/>
        </w:rPr>
        <w:t>,强化预算刚性约束，落实《政府投资条例》，理顺经济事业发展项目规划、入库、立项、审批、建设、验收程序，规范政府投资项目资金管理。未按程序执行形成风险的，追究有关单位和相应人员责任。三是加强政府债务管理。落实政府债务管理的主体责任，各举债部门的</w:t>
      </w:r>
      <w:r w:rsidRPr="004C138D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主要责任，谁举债、谁负责，谁使用、谁偿还，对违法举债、违规担保行为，发现一起、查处一起，一律依法问责到人。四是建立长效机制。进一步完善各类专项资金管理制度，健全用好专项资金监控系统，建立财政资金监督管理全覆盖长效机制，防范违反财经纪律行为发生，对屡查屡犯的，将严肃处理。五是打造阳光财政。全面推进政务公开，细化公开内容，进一步提高财政工作透明度，持续推动人大预算监控联网，自觉接受人大和社会各界监督。</w:t>
      </w:r>
    </w:p>
    <w:p w:rsidR="004C138D" w:rsidRPr="004C138D" w:rsidRDefault="004C138D" w:rsidP="004C138D">
      <w:pPr>
        <w:spacing w:line="560" w:lineRule="exact"/>
        <w:ind w:firstLine="624"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C138D">
        <w:rPr>
          <w:rFonts w:ascii="仿宋_GB2312" w:eastAsia="仿宋_GB2312" w:hAnsi="楷体" w:cs="宋体" w:hint="eastAsia"/>
          <w:b/>
          <w:color w:val="000000"/>
          <w:kern w:val="0"/>
          <w:sz w:val="32"/>
          <w:szCs w:val="32"/>
        </w:rPr>
        <w:t>（二）着力强化财政资金管理。</w:t>
      </w:r>
      <w:r w:rsidRPr="004C138D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一是有效防控财政运行</w:t>
      </w:r>
      <w:r w:rsidRPr="004C138D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lastRenderedPageBreak/>
        <w:t>风险。强化县级“三保”支出预算审核，加强国库资金管理，严控新增暂付款，按照“谁使用、谁偿还”原则，加大暂付款清收力度，合理控制暂付款规模。二是开源节流保障预算平衡。牢固树立“过紧日子”的思想，大力压减一般性支出；从严控制“三公”经费，严格执行会议费、培训费开支范围和标准。严格执行“十个不再安排资金”，做到令行禁止；积极盘活存量资产，及时收回存量资金，多渠道开源弥补支出需求。三是全面实施预算绩效管理。健全评价指标体系，改进评价方式，提高评价质量，注重结果运用，对因主观过失导致预算执行偏离绩效目标的项目，实施暂缓拨款或调整项目预算；对因故意或消极不作为致使绩效目标无法实现并造成重大影响的，启动问责程序，做到“用钱必问效、低效必问责”，实现财政资金使用和管理效益最大化。四是建立考核奖惩通报机制。强化部门支出主体责任，对专项项目支出进度缓慢、资金使用绩效差的部门列入“负面清单”，实行“黑名单”管理，适当扣减当年经费，降低下一年度列入预算优先级次，同时减少预算安排额度。五是夯实财政业务基础支撑。坚持问</w:t>
      </w:r>
      <w:r w:rsidR="0023566B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题导向，围绕政治理论、财政管理改革、业务技能提升等方面，科学制订</w:t>
      </w:r>
      <w:r w:rsidRPr="004C138D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财政财务管理教育培训计划，着力提高财政干部和广大财务工作者的政治素质和业务能力，为预算执行奠定良好基础。</w:t>
      </w:r>
    </w:p>
    <w:p w:rsidR="004C138D" w:rsidRPr="004C138D" w:rsidRDefault="004C138D" w:rsidP="004C138D">
      <w:pPr>
        <w:spacing w:line="560" w:lineRule="exact"/>
        <w:ind w:firstLine="624"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4C138D">
        <w:rPr>
          <w:rFonts w:ascii="仿宋_GB2312" w:eastAsia="仿宋_GB2312" w:hAnsi="楷体" w:cs="宋体" w:hint="eastAsia"/>
          <w:b/>
          <w:color w:val="000000"/>
          <w:kern w:val="0"/>
          <w:sz w:val="32"/>
          <w:szCs w:val="32"/>
        </w:rPr>
        <w:t>（三）着力保障和优化民生。</w:t>
      </w:r>
      <w:r w:rsidRPr="004C138D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一是实行综合零基预算。支出按资金需求和本级财力状况，依照个人部分、公用部分和重点民生的顺序核定，在当前财政收支矛盾较为突出的情</w:t>
      </w:r>
      <w:r w:rsidRPr="004C138D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lastRenderedPageBreak/>
        <w:t>况下，自觉强化底线思维，集中财力重点保障好人民群众普遍关心的突出问题。二是扎实做好民生兜底。优先保证公教人员工资按时发放和党政机关正常运转，保障“三保”范围内“社会保障、教育、文化、医疗卫生、脱贫攻坚、村级支出”等基本民生事项，支持全县重大民心工程顺利实施。三是继续巩固精准脱贫成果。聚焦“两不愁三保障”，继续扎实做好扶贫资金管理，推动完成脱贫攻坚任务。全面落实乡村振兴战略要求，促进农业产业发展，深化农村改革，进一步加快推进农村人居环境整治。四是继续打好污染</w:t>
      </w:r>
      <w:r w:rsidR="004343A9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防治</w:t>
      </w:r>
      <w:r w:rsidRPr="004C138D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攻坚战。围绕国家重点生态功能区定位，落实好“山水林田湖草生态保护修复、冬季清洁取暖、城乡污水垃圾处理、地下水超采综合治理、水和土壤污染防治”等一系列环保民生事项，持续改善县域生态环境。</w:t>
      </w:r>
    </w:p>
    <w:p w:rsidR="005C72D5" w:rsidRPr="00AB290E" w:rsidRDefault="004C138D" w:rsidP="004C138D">
      <w:pPr>
        <w:spacing w:line="560" w:lineRule="exact"/>
        <w:ind w:firstLine="624"/>
        <w:rPr>
          <w:rFonts w:ascii="方正小标宋简体" w:eastAsia="方正小标宋简体"/>
          <w:sz w:val="44"/>
          <w:szCs w:val="44"/>
        </w:rPr>
      </w:pPr>
      <w:bookmarkStart w:id="0" w:name="_GoBack"/>
      <w:r w:rsidRPr="004C138D">
        <w:rPr>
          <w:rFonts w:ascii="仿宋_GB2312" w:eastAsia="仿宋_GB2312" w:hAnsi="楷体" w:cs="宋体" w:hint="eastAsia"/>
          <w:b/>
          <w:color w:val="000000"/>
          <w:kern w:val="0"/>
          <w:sz w:val="32"/>
          <w:szCs w:val="32"/>
        </w:rPr>
        <w:t>（四）着力落实积极财政政策。</w:t>
      </w:r>
      <w:bookmarkEnd w:id="0"/>
      <w:r w:rsidRPr="004C138D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一是完善县乡财税体制。全面贯彻落实上级减税降费政策，创优财税环境，激发市场内生动力；进一步深化完善县乡事权和支出责任划分改革，合理谋划、多措并举，充分调动乡镇发展经济、培植财源、招商引企增收的积极性和主观能动性，发挥乡镇作为一级政府的主体地位，实现县乡共同发展。二是全力争取上级支持。抓住“承德市国家可持续发展议程创新示范区建设”有利机遇，积极争取脱贫攻坚、引滦入京横向生态补偿、地方政府债券、帮扶资金等，不断提高上级补助资金支持规模，为县域经济平稳运行提供财力支撑。三是继续深化政府购买服务。按照国家政策要求，积极探索选择中介机构服务方式，着力</w:t>
      </w:r>
      <w:r w:rsidRPr="004C138D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lastRenderedPageBreak/>
        <w:t>在“资产评估、项目评审、政府投资项目预算和决算评审”等方面提供优质的公共服务供给，进一步提高公共服务质量效率。四是探索创新经济发展模式。充分发挥国控资产运营效益，强化资金资源资产统筹整合，积极拓展经济事业发展项目资金支出渠道，实现国有资产经营收益最大化，有效缓解县级财政支出压力。五是转变财政投资方式。继续做好“智慧城市、城市景观生态治理和乡村振兴、供排水”</w:t>
      </w:r>
      <w:r w:rsidRPr="004C138D">
        <w:rPr>
          <w:rFonts w:ascii="仿宋_GB2312" w:eastAsia="仿宋_GB2312" w:hAnsi="楷体" w:cs="宋体"/>
          <w:color w:val="000000"/>
          <w:kern w:val="0"/>
          <w:sz w:val="32"/>
          <w:szCs w:val="32"/>
        </w:rPr>
        <w:t>PPP项目，带动金融资本、社会资本投入县级建设，努力实现共建共享。</w:t>
      </w:r>
    </w:p>
    <w:sectPr w:rsidR="005C72D5" w:rsidRPr="00AB290E" w:rsidSect="0024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E66" w:rsidRDefault="00F42E66" w:rsidP="00932BF9">
      <w:r>
        <w:separator/>
      </w:r>
    </w:p>
  </w:endnote>
  <w:endnote w:type="continuationSeparator" w:id="1">
    <w:p w:rsidR="00F42E66" w:rsidRDefault="00F42E66" w:rsidP="00932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E66" w:rsidRDefault="00F42E66" w:rsidP="00932BF9">
      <w:r>
        <w:separator/>
      </w:r>
    </w:p>
  </w:footnote>
  <w:footnote w:type="continuationSeparator" w:id="1">
    <w:p w:rsidR="00F42E66" w:rsidRDefault="00F42E66" w:rsidP="00932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1CA8"/>
    <w:multiLevelType w:val="multilevel"/>
    <w:tmpl w:val="221E626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EA4"/>
    <w:rsid w:val="000D76E3"/>
    <w:rsid w:val="00144079"/>
    <w:rsid w:val="0023566B"/>
    <w:rsid w:val="00241D7E"/>
    <w:rsid w:val="002B7A39"/>
    <w:rsid w:val="003167B2"/>
    <w:rsid w:val="004343A9"/>
    <w:rsid w:val="00453703"/>
    <w:rsid w:val="004C138D"/>
    <w:rsid w:val="004D0E1F"/>
    <w:rsid w:val="004F0A99"/>
    <w:rsid w:val="005445CD"/>
    <w:rsid w:val="005955E6"/>
    <w:rsid w:val="005C72D5"/>
    <w:rsid w:val="00666C1A"/>
    <w:rsid w:val="00690EA4"/>
    <w:rsid w:val="00932BF9"/>
    <w:rsid w:val="00AB290E"/>
    <w:rsid w:val="00B607AF"/>
    <w:rsid w:val="00BC40C0"/>
    <w:rsid w:val="00C516A3"/>
    <w:rsid w:val="00EE3A24"/>
    <w:rsid w:val="00F4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1D7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932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32BF9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932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32BF9"/>
    <w:rPr>
      <w:sz w:val="18"/>
      <w:szCs w:val="18"/>
    </w:rPr>
  </w:style>
  <w:style w:type="paragraph" w:customStyle="1" w:styleId="a6">
    <w:name w:val="正文列表编号"/>
    <w:basedOn w:val="a"/>
    <w:next w:val="a"/>
    <w:rsid w:val="00AB290E"/>
    <w:pPr>
      <w:widowControl/>
      <w:numPr>
        <w:numId w:val="0"/>
      </w:numPr>
      <w:tabs>
        <w:tab w:val="num" w:pos="360"/>
      </w:tabs>
      <w:spacing w:beforeLines="50" w:line="360" w:lineRule="auto"/>
      <w:ind w:left="1600" w:hanging="200"/>
      <w:jc w:val="left"/>
    </w:pPr>
    <w:rPr>
      <w:rFonts w:ascii="Verdana" w:eastAsia="宋体" w:hAnsi="Verdana" w:cs="Times New Roman"/>
      <w:kern w:val="0"/>
      <w:sz w:val="24"/>
      <w:szCs w:val="28"/>
      <w:lang w:eastAsia="en-US"/>
    </w:rPr>
  </w:style>
  <w:style w:type="paragraph" w:styleId="a">
    <w:name w:val="List Number"/>
    <w:basedOn w:val="a0"/>
    <w:uiPriority w:val="99"/>
    <w:semiHidden/>
    <w:unhideWhenUsed/>
    <w:rsid w:val="00AB290E"/>
    <w:pPr>
      <w:numPr>
        <w:numId w:val="1"/>
      </w:numPr>
      <w:ind w:left="360" w:hangingChars="200" w:hanging="360"/>
      <w:contextualSpacing/>
    </w:pPr>
  </w:style>
  <w:style w:type="character" w:customStyle="1" w:styleId="NormalCharacter">
    <w:name w:val="NormalCharacter"/>
    <w:semiHidden/>
    <w:qFormat/>
    <w:rsid w:val="004F0A9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王冰</dc:creator>
  <cp:keywords/>
  <dc:description/>
  <cp:lastModifiedBy>User</cp:lastModifiedBy>
  <cp:revision>7</cp:revision>
  <dcterms:created xsi:type="dcterms:W3CDTF">2019-04-02T08:59:00Z</dcterms:created>
  <dcterms:modified xsi:type="dcterms:W3CDTF">2024-03-05T09:00:00Z</dcterms:modified>
</cp:coreProperties>
</file>