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75" w:type="dxa"/>
        <w:tblInd w:w="-497"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775"/>
      </w:tblGrid>
      <w:tr w14:paraId="15D6704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636" w:hRule="exact"/>
        </w:trPr>
        <w:tc>
          <w:tcPr>
            <w:tcW w:w="9775" w:type="dxa"/>
          </w:tcPr>
          <w:p w14:paraId="2146E14C">
            <w:pPr>
              <w:pStyle w:val="14"/>
              <w:keepNext w:val="0"/>
              <w:keepLines w:val="0"/>
              <w:pageBreakBefore w:val="0"/>
              <w:widowControl/>
              <w:kinsoku/>
              <w:wordWrap/>
              <w:overflowPunct/>
              <w:topLinePunct w:val="0"/>
              <w:autoSpaceDE/>
              <w:autoSpaceDN/>
              <w:bidi w:val="0"/>
              <w:adjustRightInd/>
              <w:snapToGrid w:val="0"/>
              <w:spacing w:before="157" w:beforeLines="50" w:line="280" w:lineRule="exact"/>
              <w:jc w:val="left"/>
              <w:textAlignment w:val="auto"/>
              <w:rPr>
                <w:rFonts w:hint="eastAsia" w:eastAsia="仿宋" w:asciiTheme="majorEastAsia" w:hAnsiTheme="majorEastAsia"/>
                <w:b/>
                <w:sz w:val="24"/>
                <w:lang w:eastAsia="zh-CN"/>
              </w:rPr>
            </w:pPr>
            <w:r>
              <w:rPr>
                <w:rFonts w:hint="eastAsia" w:cs="仿宋" w:asciiTheme="majorEastAsia" w:hAnsiTheme="majorEastAsia" w:eastAsiaTheme="majorEastAsia"/>
                <w:b/>
                <w:sz w:val="28"/>
                <w:szCs w:val="28"/>
                <w:lang w:val="en-US" w:eastAsia="zh-CN"/>
              </w:rPr>
              <w:t>生态环境主管部门</w:t>
            </w:r>
            <w:r>
              <w:rPr>
                <w:rFonts w:hint="eastAsia" w:cs="仿宋" w:asciiTheme="majorEastAsia" w:hAnsiTheme="majorEastAsia" w:eastAsiaTheme="majorEastAsia"/>
                <w:b/>
                <w:sz w:val="28"/>
                <w:szCs w:val="28"/>
              </w:rPr>
              <w:t>审批意见：</w:t>
            </w:r>
            <w:r>
              <w:rPr>
                <w:rFonts w:hint="eastAsia" w:cs="仿宋" w:asciiTheme="majorEastAsia" w:hAnsiTheme="majorEastAsia" w:eastAsiaTheme="majorEastAsia"/>
                <w:b/>
                <w:sz w:val="28"/>
                <w:szCs w:val="28"/>
                <w:lang w:val="en-US" w:eastAsia="zh-CN"/>
              </w:rPr>
              <w:t xml:space="preserve">                            </w:t>
            </w:r>
            <w:r>
              <w:rPr>
                <w:rFonts w:hint="eastAsia" w:ascii="仿宋" w:hAnsi="仿宋" w:eastAsia="仿宋" w:cs="仿宋"/>
                <w:kern w:val="2"/>
                <w:sz w:val="21"/>
                <w:szCs w:val="21"/>
                <w:lang w:val="en-US" w:eastAsia="zh-CN" w:bidi="ar-SA"/>
              </w:rPr>
              <w:t>隆环评[2024]18号</w:t>
            </w:r>
          </w:p>
          <w:p w14:paraId="46A74A07">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隆化县新村矿业有限公司</w:t>
            </w:r>
            <w:r>
              <w:rPr>
                <w:rFonts w:hint="default" w:ascii="仿宋" w:hAnsi="仿宋" w:eastAsia="仿宋" w:cs="仿宋"/>
                <w:color w:val="191919"/>
                <w:sz w:val="21"/>
                <w:szCs w:val="21"/>
                <w:shd w:val="clear" w:color="auto" w:fill="FFFFFF"/>
                <w:lang w:val="en-US" w:eastAsia="zh-CN"/>
              </w:rPr>
              <w:t>细沙隔渣工艺建设项目</w:t>
            </w:r>
            <w:r>
              <w:rPr>
                <w:rFonts w:hint="eastAsia" w:ascii="仿宋" w:hAnsi="仿宋" w:eastAsia="仿宋" w:cs="仿宋"/>
                <w:color w:val="191919"/>
                <w:sz w:val="21"/>
                <w:szCs w:val="21"/>
                <w:shd w:val="clear" w:color="auto" w:fill="FFFFFF"/>
                <w:lang w:val="en-US" w:eastAsia="zh-CN"/>
              </w:rPr>
              <w:t>位于承德市隆化县韩麻营镇东兴村，项目中心坐标：E117°493.916，</w:t>
            </w:r>
            <w:r>
              <w:rPr>
                <w:rFonts w:hint="default" w:ascii="仿宋" w:hAnsi="仿宋" w:eastAsia="仿宋" w:cs="仿宋"/>
                <w:color w:val="191919"/>
                <w:sz w:val="21"/>
                <w:szCs w:val="21"/>
                <w:shd w:val="clear" w:color="auto" w:fill="FFFFFF"/>
                <w:lang w:val="en-US" w:eastAsia="zh-CN"/>
              </w:rPr>
              <w:t>N41°14'57.332。</w:t>
            </w:r>
            <w:r>
              <w:rPr>
                <w:rFonts w:hint="eastAsia" w:ascii="仿宋" w:hAnsi="仿宋" w:eastAsia="仿宋" w:cs="仿宋"/>
                <w:color w:val="191919"/>
                <w:sz w:val="21"/>
                <w:szCs w:val="21"/>
                <w:shd w:val="clear" w:color="auto" w:fill="FFFFFF"/>
                <w:lang w:val="en-US" w:eastAsia="zh-CN"/>
              </w:rPr>
              <w:t>项目总投资200万元，其中环保投资20万元。主要建设内容及规模：本</w:t>
            </w:r>
            <w:r>
              <w:rPr>
                <w:rFonts w:hint="default" w:ascii="仿宋" w:hAnsi="仿宋" w:eastAsia="仿宋" w:cs="仿宋"/>
                <w:color w:val="191919"/>
                <w:sz w:val="21"/>
                <w:szCs w:val="21"/>
                <w:shd w:val="clear" w:color="auto" w:fill="FFFFFF"/>
                <w:lang w:val="en-US" w:eastAsia="zh-CN"/>
              </w:rPr>
              <w:t>项目总占地面积4564平方米，利用佰步沟尾矿库附近空地建设细砂隔渣生产线实现新村公司尾矿浆部分外售，减少湿排量。购置安装旋流器组、直线筛、胶带运输系统、安装输送渣浆泵及管道等附属设施。新建隔渣车间一座。</w:t>
            </w:r>
            <w:r>
              <w:rPr>
                <w:rFonts w:hint="eastAsia" w:ascii="仿宋" w:hAnsi="仿宋" w:eastAsia="仿宋" w:cs="仿宋"/>
                <w:color w:val="191919"/>
                <w:sz w:val="21"/>
                <w:szCs w:val="21"/>
                <w:shd w:val="clear" w:color="auto" w:fill="FFFFFF"/>
                <w:lang w:val="en-US" w:eastAsia="zh-CN"/>
              </w:rPr>
              <w:t>年外售建筑细</w:t>
            </w:r>
            <w:r>
              <w:rPr>
                <w:rFonts w:hint="default" w:ascii="仿宋" w:hAnsi="仿宋" w:eastAsia="仿宋" w:cs="仿宋"/>
                <w:color w:val="191919"/>
                <w:sz w:val="21"/>
                <w:szCs w:val="21"/>
                <w:shd w:val="clear" w:color="auto" w:fill="FFFFFF"/>
                <w:lang w:val="en-US" w:eastAsia="zh-CN"/>
              </w:rPr>
              <w:t>沙162万吨。</w:t>
            </w:r>
            <w:r>
              <w:rPr>
                <w:rFonts w:hint="eastAsia" w:ascii="仿宋" w:hAnsi="仿宋" w:eastAsia="仿宋" w:cs="仿宋"/>
                <w:color w:val="191919"/>
                <w:sz w:val="21"/>
                <w:szCs w:val="21"/>
                <w:shd w:val="clear" w:color="auto" w:fill="FFFFFF"/>
                <w:lang w:val="en-US" w:eastAsia="zh-CN"/>
              </w:rPr>
              <w:t>冬季取暖采用电锅炉取暖</w:t>
            </w:r>
            <w:bookmarkStart w:id="0" w:name="_GoBack"/>
            <w:bookmarkEnd w:id="0"/>
            <w:r>
              <w:rPr>
                <w:rFonts w:hint="eastAsia" w:ascii="仿宋" w:hAnsi="仿宋" w:eastAsia="仿宋" w:cs="仿宋"/>
                <w:color w:val="191919"/>
                <w:sz w:val="21"/>
                <w:szCs w:val="21"/>
                <w:shd w:val="clear" w:color="auto" w:fill="FFFFFF"/>
                <w:lang w:val="en-US" w:eastAsia="zh-CN"/>
              </w:rPr>
              <w:t>。</w:t>
            </w:r>
          </w:p>
          <w:p w14:paraId="43DA48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一、经审查，项目建设取得了隆化县数据和政务服务局出</w:t>
            </w:r>
            <w:r>
              <w:rPr>
                <w:rFonts w:hint="eastAsia" w:ascii="仿宋" w:hAnsi="仿宋" w:eastAsia="仿宋" w:cs="仿宋"/>
                <w:sz w:val="21"/>
                <w:szCs w:val="21"/>
                <w:lang w:val="en-US" w:eastAsia="zh-CN"/>
              </w:rPr>
              <w:t>具的企业投资项目备案信息（备案编号：隆数政投资备[2024]34号），符合国家相关产业政策。在严格落实环境影响报告表中提出的各项环境保护措施和要求、采取有效的环境风险防范措施的前提下，该项目“报告表”中所列项目的性质、规模、地点和拟采取的环境保护措施可以作为项目</w:t>
            </w:r>
            <w:r>
              <w:rPr>
                <w:rFonts w:hint="eastAsia" w:ascii="仿宋" w:hAnsi="仿宋" w:eastAsia="仿宋" w:cs="仿宋"/>
                <w:color w:val="191919"/>
                <w:sz w:val="21"/>
                <w:szCs w:val="21"/>
                <w:shd w:val="clear" w:color="auto" w:fill="FFFFFF"/>
                <w:lang w:val="en-US" w:eastAsia="zh-CN"/>
              </w:rPr>
              <w:t>实施依据，并重点做</w:t>
            </w:r>
            <w:r>
              <w:rPr>
                <w:rFonts w:hint="eastAsia" w:ascii="仿宋" w:hAnsi="仿宋" w:eastAsia="仿宋" w:cs="仿宋"/>
                <w:kern w:val="2"/>
                <w:sz w:val="21"/>
                <w:szCs w:val="21"/>
                <w:lang w:val="en-US" w:eastAsia="zh-CN" w:bidi="ar-SA"/>
              </w:rPr>
              <w:t>好以下工作：</w:t>
            </w:r>
          </w:p>
          <w:p w14:paraId="0864076E">
            <w:pPr>
              <w:keepNext w:val="0"/>
              <w:keepLines w:val="0"/>
              <w:pageBreakBefore w:val="0"/>
              <w:numPr>
                <w:ilvl w:val="0"/>
                <w:numId w:val="0"/>
              </w:numPr>
              <w:kinsoku/>
              <w:wordWrap/>
              <w:overflowPunct/>
              <w:topLinePunct w:val="0"/>
              <w:autoSpaceDE/>
              <w:autoSpaceDN/>
              <w:bidi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（一）加强环境管理。</w:t>
            </w:r>
          </w:p>
          <w:p w14:paraId="7E4C522F">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rPr>
            </w:pPr>
            <w:r>
              <w:rPr>
                <w:rFonts w:hint="eastAsia" w:ascii="仿宋" w:hAnsi="仿宋" w:eastAsia="仿宋" w:cs="仿宋"/>
                <w:color w:val="191919"/>
                <w:sz w:val="21"/>
                <w:szCs w:val="21"/>
                <w:shd w:val="clear" w:color="auto" w:fill="FFFFFF"/>
                <w:lang w:val="en-US" w:eastAsia="zh-CN"/>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对原有环境问题整改到位。</w:t>
            </w:r>
          </w:p>
          <w:p w14:paraId="5D606A86">
            <w:pPr>
              <w:keepNext w:val="0"/>
              <w:keepLines w:val="0"/>
              <w:pageBreakBefore w:val="0"/>
              <w:widowControl w:val="0"/>
              <w:numPr>
                <w:ilvl w:val="0"/>
                <w:numId w:val="1"/>
              </w:numPr>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落实各项污染防治措施。</w:t>
            </w:r>
          </w:p>
          <w:p w14:paraId="5A55B118">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0000FF"/>
                <w:kern w:val="2"/>
                <w:sz w:val="21"/>
                <w:szCs w:val="21"/>
                <w:lang w:val="en-US" w:eastAsia="zh-CN" w:bidi="ar-SA"/>
              </w:rPr>
            </w:pPr>
            <w:r>
              <w:rPr>
                <w:rFonts w:hint="eastAsia" w:ascii="仿宋" w:hAnsi="仿宋" w:eastAsia="仿宋" w:cs="仿宋"/>
                <w:color w:val="191919"/>
                <w:kern w:val="2"/>
                <w:sz w:val="21"/>
                <w:szCs w:val="21"/>
                <w:shd w:val="clear" w:color="auto" w:fill="FFFFFF"/>
                <w:lang w:val="en-US" w:eastAsia="zh-CN" w:bidi="ar-SA"/>
              </w:rPr>
              <w:t>1.项目建设过程中在施工现场修建临时性集水池，将雨后地表径流形成的泥浆水和施工废水引至集水池收集处理后，用于建筑场地的洒水降尘及周边植被的绿化使用，不外排；施工人员生活污水泼洒至施工现场用于降尘或周边植被绿化使用。项目生产废水其中直接入库尾砂废水及溢流废水全部排入尾矿库内沉淀后回用于生产，外售细沙废水排入旋流器内循环使用，生产废水不外排；项目不设食堂宿舍，职工均来自附近村民，生活污水为盥洗水，主要用于厂区洒水抑尘，不外排，厂区设置防渗旱厕。</w:t>
            </w:r>
          </w:p>
          <w:p w14:paraId="32BDFE67">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2.项目建设阶段场地周界外扬尘的排放满足《施工场地扬尘排放标准》(DB13/2934-2019）中表1施工场地扬尘排放浓度限值的要求。项目生产工艺为湿法作业，由于车间全封闭，粉尘在厂房内通过自然沉降阻隔后无组织排放。无组织颗粒物排放执行《铁矿采选工业污染物排放标准》(GB28661-2012）表7现有和新建企业大气污染物无组织排放浓度限值。</w:t>
            </w:r>
          </w:p>
          <w:p w14:paraId="206746B8">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3.施工期噪声执行《建筑施工场界环境噪声排放标准》（GB12523-2011）中的相应标准要求。运营期生产设备置于封闭车间内，选用低噪声设备，做好基础减振定期维护保养，限制车速等措施降低噪声对周边环境的影响，厂界噪声排放执行《工业企业厂界环境噪声排放标准》（GB12348-2008）2类标准要求。</w:t>
            </w:r>
          </w:p>
          <w:p w14:paraId="5A64CD33">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4.施工期建设过程中产生的弃土石、建筑包装物、浮土等简单的建筑垃圾均在指定地点堆存，优先进行回用，剩余部分及时清运，送至区域指定建筑垃圾场堆存处置；建设过程中产生的生活垃圾集中收集，送至区域指定垃圾集中堆存点，由区域环卫部门统一负责处置。运营期固体废物主要是生活垃圾，集中收集后定期由环卫部门清运处理；直排及溢流尾砂排入尾矿库内堆存，外售细沙堆存于干排堆场等待外售给承德彤源万利工贸有限公司建材分公司。废润滑油、废润滑油桶暂时贮存于危险废物贮存间内，并定期委托承德双然环保科技有限公司运输处置。一般固体废物执行《一般工业固体废物贮存和填埋污染控制标准》（</w:t>
            </w:r>
            <w:r>
              <w:rPr>
                <w:rFonts w:hint="default" w:ascii="仿宋" w:hAnsi="仿宋" w:eastAsia="仿宋" w:cs="仿宋"/>
                <w:color w:val="191919"/>
                <w:sz w:val="21"/>
                <w:szCs w:val="21"/>
                <w:shd w:val="clear" w:color="auto" w:fill="FFFFFF"/>
                <w:lang w:val="en-US" w:eastAsia="zh-CN"/>
              </w:rPr>
              <w:t>GB18599-2020</w:t>
            </w:r>
            <w:r>
              <w:rPr>
                <w:rFonts w:hint="eastAsia" w:ascii="仿宋" w:hAnsi="仿宋" w:eastAsia="仿宋" w:cs="仿宋"/>
                <w:color w:val="191919"/>
                <w:sz w:val="21"/>
                <w:szCs w:val="21"/>
                <w:shd w:val="clear" w:color="auto" w:fill="FFFFFF"/>
                <w:lang w:val="en-US" w:eastAsia="zh-CN"/>
              </w:rPr>
              <w:t>）的相关规定。危险废物的贮存执行《危险废物贮存污染控制标准》（</w:t>
            </w:r>
            <w:r>
              <w:rPr>
                <w:rFonts w:hint="default" w:ascii="仿宋" w:hAnsi="仿宋" w:eastAsia="仿宋" w:cs="仿宋"/>
                <w:color w:val="191919"/>
                <w:sz w:val="21"/>
                <w:szCs w:val="21"/>
                <w:shd w:val="clear" w:color="auto" w:fill="FFFFFF"/>
                <w:lang w:val="en-US" w:eastAsia="zh-CN"/>
              </w:rPr>
              <w:t>GB18597-2023</w:t>
            </w:r>
            <w:r>
              <w:rPr>
                <w:rFonts w:hint="eastAsia" w:ascii="仿宋" w:hAnsi="仿宋" w:eastAsia="仿宋" w:cs="仿宋"/>
                <w:color w:val="191919"/>
                <w:sz w:val="21"/>
                <w:szCs w:val="21"/>
                <w:shd w:val="clear" w:color="auto" w:fill="FFFFFF"/>
                <w:lang w:val="en-US" w:eastAsia="zh-CN"/>
              </w:rPr>
              <w:t>）的相关规定。</w:t>
            </w:r>
          </w:p>
          <w:p w14:paraId="67FD79E4">
            <w:pPr>
              <w:keepNext w:val="0"/>
              <w:keepLines w:val="0"/>
              <w:widowControl/>
              <w:suppressLineNumbers w:val="0"/>
              <w:ind w:firstLine="420" w:firstLineChars="200"/>
              <w:jc w:val="left"/>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5.防止项目生产对地下水造成污染做好分区防控措施。对工业场地等生态破坏区域，要采取有效的生态保护和恢复措施。为避免环境事故发生，建设单位按照安全、消防等部门要求落实各项防范措施，并在日常运行管理过程当中增强环境风险意识，制定切实可行的环境风险事故应急预案，当出现事故时，可及时采取应急措施，以控制事故和减少对环境造成的危害。</w:t>
            </w:r>
          </w:p>
          <w:p w14:paraId="6E01C9D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6.项目涉及物料的铀（钍）系单个核素活度浓度小于</w:t>
            </w:r>
            <w:r>
              <w:rPr>
                <w:rFonts w:hint="default" w:ascii="仿宋" w:hAnsi="仿宋" w:eastAsia="仿宋" w:cs="仿宋"/>
                <w:kern w:val="2"/>
                <w:sz w:val="21"/>
                <w:szCs w:val="21"/>
                <w:lang w:val="en-US" w:eastAsia="zh-CN" w:bidi="ar-SA"/>
              </w:rPr>
              <w:t>1Bq/g</w:t>
            </w:r>
            <w:r>
              <w:rPr>
                <w:rFonts w:hint="eastAsia" w:ascii="仿宋" w:hAnsi="仿宋" w:eastAsia="仿宋" w:cs="仿宋"/>
                <w:kern w:val="2"/>
                <w:sz w:val="21"/>
                <w:szCs w:val="21"/>
                <w:lang w:val="en-US" w:eastAsia="zh-CN" w:bidi="ar-SA"/>
              </w:rPr>
              <w:t>，无需开展辐射环境影响评价专篇。</w:t>
            </w:r>
          </w:p>
          <w:p w14:paraId="642CF6C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b w:val="0"/>
                <w:bCs w:val="0"/>
                <w:sz w:val="21"/>
                <w:szCs w:val="21"/>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w:t>
            </w:r>
            <w:r>
              <w:rPr>
                <w:rFonts w:hint="eastAsia" w:ascii="仿宋" w:hAnsi="仿宋" w:eastAsia="仿宋" w:cs="仿宋"/>
                <w:b w:val="0"/>
                <w:bCs w:val="0"/>
                <w:sz w:val="21"/>
                <w:szCs w:val="21"/>
              </w:rPr>
              <w:t>COD、NH</w:t>
            </w:r>
            <w:r>
              <w:rPr>
                <w:rFonts w:hint="eastAsia" w:ascii="仿宋" w:hAnsi="仿宋" w:eastAsia="仿宋" w:cs="仿宋"/>
                <w:b w:val="0"/>
                <w:bCs w:val="0"/>
                <w:sz w:val="21"/>
                <w:szCs w:val="21"/>
                <w:vertAlign w:val="subscript"/>
              </w:rPr>
              <w:t>3</w:t>
            </w:r>
            <w:r>
              <w:rPr>
                <w:rFonts w:hint="eastAsia" w:ascii="仿宋" w:hAnsi="仿宋" w:eastAsia="仿宋" w:cs="仿宋"/>
                <w:b w:val="0"/>
                <w:bCs w:val="0"/>
                <w:sz w:val="21"/>
                <w:szCs w:val="21"/>
              </w:rPr>
              <w:t>-N、SO</w:t>
            </w:r>
            <w:r>
              <w:rPr>
                <w:rFonts w:hint="eastAsia" w:ascii="仿宋" w:hAnsi="仿宋" w:eastAsia="仿宋" w:cs="仿宋"/>
                <w:b w:val="0"/>
                <w:bCs w:val="0"/>
                <w:sz w:val="21"/>
                <w:szCs w:val="21"/>
                <w:vertAlign w:val="subscript"/>
              </w:rPr>
              <w:t>2</w:t>
            </w:r>
            <w:r>
              <w:rPr>
                <w:rFonts w:hint="eastAsia" w:ascii="仿宋" w:hAnsi="仿宋" w:eastAsia="仿宋" w:cs="仿宋"/>
                <w:b w:val="0"/>
                <w:bCs w:val="0"/>
                <w:sz w:val="21"/>
                <w:szCs w:val="21"/>
              </w:rPr>
              <w:t>、NO</w:t>
            </w:r>
            <w:r>
              <w:rPr>
                <w:rFonts w:hint="eastAsia" w:ascii="仿宋" w:hAnsi="仿宋" w:eastAsia="仿宋" w:cs="仿宋"/>
                <w:b w:val="0"/>
                <w:bCs w:val="0"/>
                <w:sz w:val="21"/>
                <w:szCs w:val="21"/>
                <w:vertAlign w:val="subscript"/>
              </w:rPr>
              <w:t>x</w:t>
            </w:r>
            <w:r>
              <w:rPr>
                <w:rFonts w:hint="eastAsia" w:ascii="仿宋" w:hAnsi="仿宋" w:eastAsia="仿宋" w:cs="仿宋"/>
                <w:b w:val="0"/>
                <w:bCs w:val="0"/>
                <w:sz w:val="21"/>
                <w:szCs w:val="21"/>
              </w:rPr>
              <w:t>年排放量全部为0吨。</w:t>
            </w:r>
          </w:p>
          <w:p w14:paraId="5719B4E2">
            <w:pPr>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14:paraId="7DD3146E">
            <w:pPr>
              <w:ind w:firstLine="420" w:firstLineChars="20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经办人：                                                          2024年10月29日</w:t>
            </w:r>
          </w:p>
          <w:p w14:paraId="4437341A">
            <w:pPr>
              <w:pStyle w:val="9"/>
            </w:pPr>
          </w:p>
        </w:tc>
      </w:tr>
    </w:tbl>
    <w:p w14:paraId="5EF535BE">
      <w:pPr>
        <w:rPr>
          <w:rFonts w:hint="eastAsia" w:eastAsia="宋体"/>
          <w:lang w:eastAsia="zh-CN"/>
        </w:rPr>
      </w:pPr>
    </w:p>
    <w:sectPr>
      <w:pgSz w:w="11906" w:h="16838"/>
      <w:pgMar w:top="1100" w:right="1633" w:bottom="110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995B"/>
    <w:multiLevelType w:val="singleLevel"/>
    <w:tmpl w:val="FD9F99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41173"/>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16463D"/>
    <w:rsid w:val="03C35590"/>
    <w:rsid w:val="03F252A8"/>
    <w:rsid w:val="04E86BAA"/>
    <w:rsid w:val="05D71850"/>
    <w:rsid w:val="062E13DD"/>
    <w:rsid w:val="0639036B"/>
    <w:rsid w:val="07F5531E"/>
    <w:rsid w:val="07F6059C"/>
    <w:rsid w:val="08C001F8"/>
    <w:rsid w:val="093508AC"/>
    <w:rsid w:val="0B8A14FA"/>
    <w:rsid w:val="0BB357F1"/>
    <w:rsid w:val="0C7056C4"/>
    <w:rsid w:val="0DCB4E1F"/>
    <w:rsid w:val="0E786652"/>
    <w:rsid w:val="0EA520AE"/>
    <w:rsid w:val="0F2637C4"/>
    <w:rsid w:val="0FF22FD6"/>
    <w:rsid w:val="10BB099D"/>
    <w:rsid w:val="10E220C6"/>
    <w:rsid w:val="110D36BF"/>
    <w:rsid w:val="116D01DE"/>
    <w:rsid w:val="11D905EA"/>
    <w:rsid w:val="120759EA"/>
    <w:rsid w:val="125123AD"/>
    <w:rsid w:val="12EA0B44"/>
    <w:rsid w:val="14F70021"/>
    <w:rsid w:val="15212FE0"/>
    <w:rsid w:val="17805F80"/>
    <w:rsid w:val="183C2C81"/>
    <w:rsid w:val="185C6797"/>
    <w:rsid w:val="188477FD"/>
    <w:rsid w:val="18DB3A02"/>
    <w:rsid w:val="1A491BBF"/>
    <w:rsid w:val="1A820940"/>
    <w:rsid w:val="1B0272A5"/>
    <w:rsid w:val="1BEE01D9"/>
    <w:rsid w:val="1D745502"/>
    <w:rsid w:val="1D773D97"/>
    <w:rsid w:val="1DD9198E"/>
    <w:rsid w:val="1DF00D78"/>
    <w:rsid w:val="1ED4072F"/>
    <w:rsid w:val="1F16680D"/>
    <w:rsid w:val="1F983897"/>
    <w:rsid w:val="210B723E"/>
    <w:rsid w:val="21393F20"/>
    <w:rsid w:val="2277712A"/>
    <w:rsid w:val="22A15DB2"/>
    <w:rsid w:val="235545C6"/>
    <w:rsid w:val="23CE2AF6"/>
    <w:rsid w:val="247B1229"/>
    <w:rsid w:val="24F030CE"/>
    <w:rsid w:val="253D5533"/>
    <w:rsid w:val="258874A7"/>
    <w:rsid w:val="259B3EDE"/>
    <w:rsid w:val="25F0248B"/>
    <w:rsid w:val="26687D32"/>
    <w:rsid w:val="27463420"/>
    <w:rsid w:val="286610A6"/>
    <w:rsid w:val="287C55B3"/>
    <w:rsid w:val="2A1B37AD"/>
    <w:rsid w:val="2A5D28F9"/>
    <w:rsid w:val="2DC51C24"/>
    <w:rsid w:val="2DE54AAF"/>
    <w:rsid w:val="2E4A767C"/>
    <w:rsid w:val="2FA62982"/>
    <w:rsid w:val="2FA90493"/>
    <w:rsid w:val="2FD55413"/>
    <w:rsid w:val="32C215A3"/>
    <w:rsid w:val="32E14E18"/>
    <w:rsid w:val="341C43C2"/>
    <w:rsid w:val="36430044"/>
    <w:rsid w:val="36527A66"/>
    <w:rsid w:val="367968D7"/>
    <w:rsid w:val="36EF006E"/>
    <w:rsid w:val="37213D29"/>
    <w:rsid w:val="380A60B3"/>
    <w:rsid w:val="391F541C"/>
    <w:rsid w:val="3A77227A"/>
    <w:rsid w:val="3AA86B61"/>
    <w:rsid w:val="3ABC555D"/>
    <w:rsid w:val="3CE34EAB"/>
    <w:rsid w:val="3D5D76F7"/>
    <w:rsid w:val="3DFC1E32"/>
    <w:rsid w:val="3DFC3CBF"/>
    <w:rsid w:val="3E057984"/>
    <w:rsid w:val="3E0F14D8"/>
    <w:rsid w:val="3E104E77"/>
    <w:rsid w:val="3E900D92"/>
    <w:rsid w:val="3E927EF8"/>
    <w:rsid w:val="415C54DB"/>
    <w:rsid w:val="432917FA"/>
    <w:rsid w:val="439A3BBE"/>
    <w:rsid w:val="43DE7A56"/>
    <w:rsid w:val="445A4283"/>
    <w:rsid w:val="44B22B0D"/>
    <w:rsid w:val="45A74A0B"/>
    <w:rsid w:val="46FD256C"/>
    <w:rsid w:val="470664E9"/>
    <w:rsid w:val="477311C9"/>
    <w:rsid w:val="48D54C71"/>
    <w:rsid w:val="4948389E"/>
    <w:rsid w:val="4A1726EE"/>
    <w:rsid w:val="4A303725"/>
    <w:rsid w:val="4A741418"/>
    <w:rsid w:val="4C4D73A7"/>
    <w:rsid w:val="4C5C7478"/>
    <w:rsid w:val="4D1D4C18"/>
    <w:rsid w:val="4E6D7FFF"/>
    <w:rsid w:val="4ED65758"/>
    <w:rsid w:val="5020160B"/>
    <w:rsid w:val="50C65266"/>
    <w:rsid w:val="51462EE1"/>
    <w:rsid w:val="53642102"/>
    <w:rsid w:val="537A1E73"/>
    <w:rsid w:val="54041659"/>
    <w:rsid w:val="54F61A33"/>
    <w:rsid w:val="55637F7F"/>
    <w:rsid w:val="556666D5"/>
    <w:rsid w:val="56100BFC"/>
    <w:rsid w:val="564D059A"/>
    <w:rsid w:val="593149B9"/>
    <w:rsid w:val="59512C6F"/>
    <w:rsid w:val="5A787724"/>
    <w:rsid w:val="5B1F1B1C"/>
    <w:rsid w:val="5E9B1D0C"/>
    <w:rsid w:val="5F523A71"/>
    <w:rsid w:val="60A46881"/>
    <w:rsid w:val="60B96269"/>
    <w:rsid w:val="62C02D4E"/>
    <w:rsid w:val="6317780B"/>
    <w:rsid w:val="63497F31"/>
    <w:rsid w:val="64245A29"/>
    <w:rsid w:val="64DA405D"/>
    <w:rsid w:val="658E6283"/>
    <w:rsid w:val="65C3030C"/>
    <w:rsid w:val="66E40073"/>
    <w:rsid w:val="670923BA"/>
    <w:rsid w:val="682C72B2"/>
    <w:rsid w:val="68541F7E"/>
    <w:rsid w:val="69F14EF3"/>
    <w:rsid w:val="6A7D13F3"/>
    <w:rsid w:val="6C4106CC"/>
    <w:rsid w:val="6C773F36"/>
    <w:rsid w:val="6CFE0DDA"/>
    <w:rsid w:val="6D52540F"/>
    <w:rsid w:val="6D6949EA"/>
    <w:rsid w:val="6D8967FD"/>
    <w:rsid w:val="6DF254D4"/>
    <w:rsid w:val="6E590CDB"/>
    <w:rsid w:val="70767FAF"/>
    <w:rsid w:val="70CB2118"/>
    <w:rsid w:val="71B44793"/>
    <w:rsid w:val="71C9278B"/>
    <w:rsid w:val="71D31BA0"/>
    <w:rsid w:val="72405D25"/>
    <w:rsid w:val="734D1831"/>
    <w:rsid w:val="75276451"/>
    <w:rsid w:val="754B3E4C"/>
    <w:rsid w:val="75627F33"/>
    <w:rsid w:val="764B55B9"/>
    <w:rsid w:val="76C93DE9"/>
    <w:rsid w:val="76D8421F"/>
    <w:rsid w:val="77F233BD"/>
    <w:rsid w:val="785C4770"/>
    <w:rsid w:val="79CD2C51"/>
    <w:rsid w:val="7A3D2CC4"/>
    <w:rsid w:val="7A735214"/>
    <w:rsid w:val="7B423469"/>
    <w:rsid w:val="7BEC14D9"/>
    <w:rsid w:val="7C0F1005"/>
    <w:rsid w:val="7C4740BA"/>
    <w:rsid w:val="7DD03374"/>
    <w:rsid w:val="7E81304E"/>
    <w:rsid w:val="7F355C97"/>
    <w:rsid w:val="7F92389C"/>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2"/>
    <w:basedOn w:val="1"/>
    <w:next w:val="1"/>
    <w:qFormat/>
    <w:uiPriority w:val="0"/>
    <w:pPr>
      <w:ind w:left="240"/>
    </w:pPr>
    <w:rPr>
      <w:rFonts w:ascii="Calibri" w:hAnsi="Calibri"/>
      <w:smallCaps/>
      <w:sz w:val="20"/>
    </w:rPr>
  </w:style>
  <w:style w:type="character" w:styleId="8">
    <w:name w:val="Strong"/>
    <w:basedOn w:val="7"/>
    <w:qFormat/>
    <w:uiPriority w:val="0"/>
    <w:rPr>
      <w:b/>
    </w:rPr>
  </w:style>
  <w:style w:type="paragraph" w:customStyle="1" w:styleId="9">
    <w:name w:val="样式 样式 样式 四号 左侧:  1.53 厘米 + 首行缩进:  2 字符 + 居中 左侧:  2 字符 首行缩进:  2..."/>
    <w:basedOn w:val="10"/>
    <w:qFormat/>
    <w:uiPriority w:val="0"/>
    <w:pPr>
      <w:adjustRightInd w:val="0"/>
      <w:ind w:left="200" w:leftChars="200"/>
      <w:jc w:val="center"/>
    </w:pPr>
    <w:rPr>
      <w:w w:val="90"/>
      <w:sz w:val="28"/>
      <w:szCs w:val="20"/>
    </w:rPr>
  </w:style>
  <w:style w:type="paragraph" w:customStyle="1" w:styleId="10">
    <w:name w:val="样式 样式 四号 左侧:  1.53 厘米 + 首行缩进:  2 字符"/>
    <w:basedOn w:val="11"/>
    <w:qFormat/>
    <w:uiPriority w:val="0"/>
    <w:pPr>
      <w:ind w:left="200" w:leftChars="200"/>
    </w:pPr>
    <w:rPr>
      <w:szCs w:val="20"/>
    </w:rPr>
  </w:style>
  <w:style w:type="paragraph" w:customStyle="1" w:styleId="11">
    <w:name w:val="样式 四号 左侧:  1.53 厘米"/>
    <w:basedOn w:val="1"/>
    <w:qFormat/>
    <w:uiPriority w:val="0"/>
    <w:pPr>
      <w:adjustRightInd w:val="0"/>
    </w:pPr>
    <w:rPr>
      <w:w w:val="90"/>
      <w:sz w:val="28"/>
      <w:szCs w:val="2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paragraph" w:customStyle="1" w:styleId="14">
    <w:name w:val="p0"/>
    <w:basedOn w:val="1"/>
    <w:qFormat/>
    <w:uiPriority w:val="0"/>
    <w:pPr>
      <w:widowControl/>
    </w:pPr>
    <w:rPr>
      <w:kern w:val="0"/>
      <w:szCs w:val="21"/>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1851</Words>
  <Characters>1987</Characters>
  <Lines>9</Lines>
  <Paragraphs>2</Paragraphs>
  <TotalTime>4</TotalTime>
  <ScaleCrop>false</ScaleCrop>
  <LinksUpToDate>false</LinksUpToDate>
  <CharactersWithSpaces>2073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2022-05-25T02:04:00Z</cp:lastPrinted>
  <dcterms:modified xsi:type="dcterms:W3CDTF">2024-10-28T00:42:34Z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C7D5036CD2794381A3611AD522CDD8CA</vt:lpwstr>
  </property>
</Properties>
</file>