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594" w:type="dxa"/>
        <w:tblInd w:w="-116"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594"/>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4221" w:hRule="exact"/>
        </w:trPr>
        <w:tc>
          <w:tcPr>
            <w:tcW w:w="9594" w:type="dxa"/>
          </w:tcPr>
          <w:p>
            <w:pPr>
              <w:spacing w:line="360" w:lineRule="exact"/>
              <w:rPr>
                <w:rFonts w:asciiTheme="majorEastAsia" w:hAnsiTheme="majorEastAsia" w:eastAsiaTheme="majorEastAsia"/>
                <w:b/>
                <w:sz w:val="24"/>
              </w:rPr>
            </w:pPr>
            <w:r>
              <w:rPr>
                <w:rFonts w:hint="eastAsia" w:cs="仿宋" w:asciiTheme="majorEastAsia" w:hAnsiTheme="majorEastAsia" w:eastAsiaTheme="majorEastAsia"/>
                <w:b/>
                <w:sz w:val="24"/>
                <w:szCs w:val="24"/>
                <w:lang w:eastAsia="zh-CN"/>
              </w:rPr>
              <w:t>生态环境主管部门</w:t>
            </w:r>
            <w:r>
              <w:rPr>
                <w:rFonts w:hint="eastAsia" w:cs="仿宋" w:asciiTheme="majorEastAsia" w:hAnsiTheme="majorEastAsia" w:eastAsiaTheme="majorEastAsia"/>
                <w:b/>
                <w:sz w:val="24"/>
                <w:szCs w:val="24"/>
              </w:rPr>
              <w:t>审批意见：</w:t>
            </w:r>
            <w:r>
              <w:rPr>
                <w:rFonts w:hint="eastAsia" w:cs="仿宋" w:asciiTheme="majorEastAsia" w:hAnsiTheme="majorEastAsia" w:eastAsiaTheme="majorEastAsia"/>
                <w:b/>
                <w:sz w:val="24"/>
                <w:szCs w:val="24"/>
                <w:lang w:val="en-US" w:eastAsia="zh-CN"/>
              </w:rPr>
              <w:t xml:space="preserve">                                    </w:t>
            </w:r>
            <w:r>
              <w:rPr>
                <w:rFonts w:hint="eastAsia" w:ascii="仿宋" w:hAnsi="仿宋" w:eastAsia="仿宋" w:cs="仿宋"/>
                <w:sz w:val="21"/>
                <w:szCs w:val="21"/>
              </w:rPr>
              <w:t>隆环评</w:t>
            </w:r>
            <w:r>
              <w:rPr>
                <w:rFonts w:hint="eastAsia" w:ascii="仿宋" w:hAnsi="仿宋" w:eastAsia="仿宋" w:cs="仿宋"/>
                <w:sz w:val="21"/>
                <w:szCs w:val="21"/>
                <w:lang w:eastAsia="zh-CN"/>
              </w:rPr>
              <w:t>〔2024〕2</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号</w:t>
            </w:r>
          </w:p>
          <w:p>
            <w:pPr>
              <w:keepNext w:val="0"/>
              <w:keepLines w:val="0"/>
              <w:widowControl/>
              <w:suppressLineNumbers w:val="0"/>
              <w:ind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承德鲁傲商贸有限公司建设</w:t>
            </w:r>
            <w:r>
              <w:rPr>
                <w:rFonts w:hint="default" w:ascii="仿宋" w:hAnsi="仿宋" w:eastAsia="仿宋" w:cs="仿宋"/>
                <w:sz w:val="21"/>
                <w:szCs w:val="21"/>
                <w:lang w:val="en-US" w:eastAsia="zh-CN"/>
              </w:rPr>
              <w:t>3*5000</w:t>
            </w:r>
            <w:r>
              <w:rPr>
                <w:rFonts w:hint="eastAsia" w:ascii="仿宋" w:hAnsi="仿宋" w:eastAsia="仿宋" w:cs="仿宋"/>
                <w:sz w:val="21"/>
                <w:szCs w:val="21"/>
                <w:lang w:val="en-US" w:eastAsia="zh-CN"/>
              </w:rPr>
              <w:t>立方米工业硫酸仓储项目，项目选址位于河北隆化经济开发区循环经济产业园内新型建材片区。项目新建车间中心地理坐标为：东经：</w:t>
            </w:r>
            <w:r>
              <w:rPr>
                <w:rFonts w:hint="default" w:ascii="仿宋" w:hAnsi="仿宋" w:eastAsia="仿宋" w:cs="仿宋"/>
                <w:sz w:val="21"/>
                <w:szCs w:val="21"/>
                <w:lang w:val="en-US" w:eastAsia="zh-CN"/>
              </w:rPr>
              <w:t>117</w:t>
            </w:r>
            <w:r>
              <w:rPr>
                <w:rFonts w:hint="eastAsia" w:ascii="仿宋" w:hAnsi="仿宋" w:eastAsia="仿宋" w:cs="仿宋"/>
                <w:sz w:val="21"/>
                <w:szCs w:val="21"/>
                <w:lang w:val="en-US" w:eastAsia="zh-CN"/>
              </w:rPr>
              <w:t>度</w:t>
            </w:r>
            <w:r>
              <w:rPr>
                <w:rFonts w:hint="default" w:ascii="仿宋" w:hAnsi="仿宋" w:eastAsia="仿宋" w:cs="仿宋"/>
                <w:sz w:val="21"/>
                <w:szCs w:val="21"/>
                <w:lang w:val="en-US" w:eastAsia="zh-CN"/>
              </w:rPr>
              <w:t>40</w:t>
            </w:r>
            <w:r>
              <w:rPr>
                <w:rFonts w:hint="eastAsia" w:ascii="仿宋" w:hAnsi="仿宋" w:eastAsia="仿宋" w:cs="仿宋"/>
                <w:sz w:val="21"/>
                <w:szCs w:val="21"/>
                <w:lang w:val="en-US" w:eastAsia="zh-CN"/>
              </w:rPr>
              <w:t>分</w:t>
            </w:r>
            <w:r>
              <w:rPr>
                <w:rFonts w:hint="default" w:ascii="仿宋" w:hAnsi="仿宋" w:eastAsia="仿宋" w:cs="仿宋"/>
                <w:sz w:val="21"/>
                <w:szCs w:val="21"/>
                <w:lang w:val="en-US" w:eastAsia="zh-CN"/>
              </w:rPr>
              <w:t>5.393</w:t>
            </w:r>
            <w:r>
              <w:rPr>
                <w:rFonts w:hint="eastAsia" w:ascii="仿宋" w:hAnsi="仿宋" w:eastAsia="仿宋" w:cs="仿宋"/>
                <w:sz w:val="21"/>
                <w:szCs w:val="21"/>
                <w:lang w:val="en-US" w:eastAsia="zh-CN"/>
              </w:rPr>
              <w:t>秒，北纬：</w:t>
            </w:r>
            <w:r>
              <w:rPr>
                <w:rFonts w:hint="default" w:ascii="仿宋" w:hAnsi="仿宋" w:eastAsia="仿宋" w:cs="仿宋"/>
                <w:sz w:val="21"/>
                <w:szCs w:val="21"/>
                <w:lang w:val="en-US" w:eastAsia="zh-CN"/>
              </w:rPr>
              <w:t>41</w:t>
            </w:r>
            <w:r>
              <w:rPr>
                <w:rFonts w:hint="eastAsia" w:ascii="仿宋" w:hAnsi="仿宋" w:eastAsia="仿宋" w:cs="仿宋"/>
                <w:sz w:val="21"/>
                <w:szCs w:val="21"/>
                <w:lang w:val="en-US" w:eastAsia="zh-CN"/>
              </w:rPr>
              <w:t>度</w:t>
            </w:r>
            <w:r>
              <w:rPr>
                <w:rFonts w:hint="default" w:ascii="仿宋" w:hAnsi="仿宋" w:eastAsia="仿宋" w:cs="仿宋"/>
                <w:sz w:val="21"/>
                <w:szCs w:val="21"/>
                <w:lang w:val="en-US" w:eastAsia="zh-CN"/>
              </w:rPr>
              <w:t>14</w:t>
            </w:r>
            <w:r>
              <w:rPr>
                <w:rFonts w:hint="eastAsia" w:ascii="仿宋" w:hAnsi="仿宋" w:eastAsia="仿宋" w:cs="仿宋"/>
                <w:sz w:val="21"/>
                <w:szCs w:val="21"/>
                <w:lang w:val="en-US" w:eastAsia="zh-CN"/>
              </w:rPr>
              <w:t>分</w:t>
            </w:r>
            <w:r>
              <w:rPr>
                <w:rFonts w:hint="default" w:ascii="仿宋" w:hAnsi="仿宋" w:eastAsia="仿宋" w:cs="仿宋"/>
                <w:sz w:val="21"/>
                <w:szCs w:val="21"/>
                <w:lang w:val="en-US" w:eastAsia="zh-CN"/>
              </w:rPr>
              <w:t>27.887</w:t>
            </w:r>
            <w:r>
              <w:rPr>
                <w:rFonts w:hint="eastAsia" w:ascii="仿宋" w:hAnsi="仿宋" w:eastAsia="仿宋" w:cs="仿宋"/>
                <w:sz w:val="21"/>
                <w:szCs w:val="21"/>
                <w:lang w:val="en-US" w:eastAsia="zh-CN"/>
              </w:rPr>
              <w:t>秒。项目总投资为7800万元，其中环保投资</w:t>
            </w:r>
            <w:r>
              <w:rPr>
                <w:rFonts w:hint="default" w:ascii="仿宋" w:hAnsi="仿宋" w:eastAsia="仿宋" w:cs="仿宋"/>
                <w:sz w:val="21"/>
                <w:szCs w:val="21"/>
                <w:lang w:val="en-US" w:eastAsia="zh-CN"/>
              </w:rPr>
              <w:t>102.99</w:t>
            </w:r>
            <w:r>
              <w:rPr>
                <w:rFonts w:hint="eastAsia" w:ascii="仿宋" w:hAnsi="仿宋" w:eastAsia="仿宋" w:cs="仿宋"/>
                <w:sz w:val="21"/>
                <w:szCs w:val="21"/>
                <w:lang w:val="en-US" w:eastAsia="zh-CN"/>
              </w:rPr>
              <w:t>万元。主要建设内容及规模：工程占地属于工业用地。总占地面积为</w:t>
            </w:r>
            <w:r>
              <w:rPr>
                <w:rFonts w:hint="default" w:ascii="仿宋" w:hAnsi="仿宋" w:eastAsia="仿宋" w:cs="仿宋"/>
                <w:sz w:val="21"/>
                <w:szCs w:val="21"/>
                <w:lang w:val="en-US" w:eastAsia="zh-CN"/>
              </w:rPr>
              <w:t>17333.33</w:t>
            </w:r>
            <w:r>
              <w:rPr>
                <w:rFonts w:hint="eastAsia" w:ascii="仿宋" w:hAnsi="仿宋" w:eastAsia="仿宋" w:cs="仿宋"/>
                <w:sz w:val="21"/>
                <w:szCs w:val="21"/>
                <w:lang w:val="en-US" w:eastAsia="zh-CN"/>
              </w:rPr>
              <w:t>平方米，项目建设</w:t>
            </w:r>
            <w:r>
              <w:rPr>
                <w:rFonts w:hint="default" w:ascii="仿宋" w:hAnsi="仿宋" w:eastAsia="仿宋" w:cs="仿宋"/>
                <w:sz w:val="21"/>
                <w:szCs w:val="21"/>
                <w:lang w:val="en-US" w:eastAsia="zh-CN"/>
              </w:rPr>
              <w:t>3</w:t>
            </w:r>
            <w:r>
              <w:rPr>
                <w:rFonts w:hint="eastAsia" w:ascii="仿宋" w:hAnsi="仿宋" w:eastAsia="仿宋" w:cs="仿宋"/>
                <w:sz w:val="21"/>
                <w:szCs w:val="21"/>
                <w:lang w:val="en-US" w:eastAsia="zh-CN"/>
              </w:rPr>
              <w:t>座∮</w:t>
            </w:r>
            <w:r>
              <w:rPr>
                <w:rFonts w:hint="default" w:ascii="仿宋" w:hAnsi="仿宋" w:eastAsia="仿宋" w:cs="仿宋"/>
                <w:sz w:val="21"/>
                <w:szCs w:val="21"/>
                <w:lang w:val="en-US" w:eastAsia="zh-CN"/>
              </w:rPr>
              <w:t>24000×11000mm</w:t>
            </w:r>
            <w:r>
              <w:rPr>
                <w:rFonts w:hint="eastAsia" w:ascii="仿宋" w:hAnsi="仿宋" w:eastAsia="仿宋" w:cs="仿宋"/>
                <w:sz w:val="21"/>
                <w:szCs w:val="21"/>
                <w:lang w:val="en-US" w:eastAsia="zh-CN"/>
              </w:rPr>
              <w:t>碳钢硫酸罐，每座容积</w:t>
            </w:r>
            <w:r>
              <w:rPr>
                <w:rFonts w:hint="default" w:ascii="仿宋" w:hAnsi="仿宋" w:eastAsia="仿宋" w:cs="仿宋"/>
                <w:sz w:val="21"/>
                <w:szCs w:val="21"/>
                <w:lang w:val="en-US" w:eastAsia="zh-CN"/>
              </w:rPr>
              <w:t>5000</w:t>
            </w:r>
            <w:r>
              <w:rPr>
                <w:rFonts w:hint="eastAsia" w:ascii="仿宋" w:hAnsi="仿宋" w:eastAsia="仿宋" w:cs="仿宋"/>
                <w:sz w:val="21"/>
                <w:szCs w:val="21"/>
                <w:lang w:val="en-US" w:eastAsia="zh-CN"/>
              </w:rPr>
              <w:t>立方米，可贮存浓度为</w:t>
            </w:r>
            <w:r>
              <w:rPr>
                <w:rFonts w:hint="default" w:ascii="仿宋" w:hAnsi="仿宋" w:eastAsia="仿宋" w:cs="仿宋"/>
                <w:sz w:val="21"/>
                <w:szCs w:val="21"/>
                <w:lang w:val="en-US" w:eastAsia="zh-CN"/>
              </w:rPr>
              <w:t>93%</w:t>
            </w:r>
            <w:r>
              <w:rPr>
                <w:rFonts w:hint="eastAsia" w:ascii="仿宋" w:hAnsi="仿宋" w:eastAsia="仿宋" w:cs="仿宋"/>
                <w:sz w:val="21"/>
                <w:szCs w:val="21"/>
                <w:lang w:val="en-US" w:eastAsia="zh-CN"/>
              </w:rPr>
              <w:t>硫酸</w:t>
            </w:r>
            <w:r>
              <w:rPr>
                <w:rFonts w:hint="default" w:ascii="仿宋" w:hAnsi="仿宋" w:eastAsia="仿宋" w:cs="仿宋"/>
                <w:sz w:val="21"/>
                <w:szCs w:val="21"/>
                <w:lang w:val="en-US" w:eastAsia="zh-CN"/>
              </w:rPr>
              <w:t>8000t</w:t>
            </w:r>
            <w:r>
              <w:rPr>
                <w:rFonts w:hint="eastAsia" w:ascii="仿宋" w:hAnsi="仿宋" w:eastAsia="仿宋" w:cs="仿宋"/>
                <w:sz w:val="21"/>
                <w:szCs w:val="21"/>
                <w:lang w:val="en-US" w:eastAsia="zh-CN"/>
              </w:rPr>
              <w:t>；总容积</w:t>
            </w:r>
            <w:r>
              <w:rPr>
                <w:rFonts w:hint="default" w:ascii="仿宋" w:hAnsi="仿宋" w:eastAsia="仿宋" w:cs="仿宋"/>
                <w:sz w:val="21"/>
                <w:szCs w:val="21"/>
                <w:lang w:val="en-US" w:eastAsia="zh-CN"/>
              </w:rPr>
              <w:t>15000</w:t>
            </w:r>
            <w:r>
              <w:rPr>
                <w:rFonts w:hint="eastAsia" w:ascii="仿宋" w:hAnsi="仿宋" w:eastAsia="仿宋" w:cs="仿宋"/>
                <w:sz w:val="21"/>
                <w:szCs w:val="21"/>
                <w:lang w:val="en-US" w:eastAsia="zh-CN"/>
              </w:rPr>
              <w:t>立方米，最大贮存量</w:t>
            </w:r>
            <w:r>
              <w:rPr>
                <w:rFonts w:hint="default" w:ascii="仿宋" w:hAnsi="仿宋" w:eastAsia="仿宋" w:cs="仿宋"/>
                <w:sz w:val="21"/>
                <w:szCs w:val="21"/>
                <w:lang w:val="en-US" w:eastAsia="zh-CN"/>
              </w:rPr>
              <w:t>24000t</w:t>
            </w:r>
            <w:r>
              <w:rPr>
                <w:rFonts w:hint="eastAsia" w:ascii="仿宋" w:hAnsi="仿宋" w:eastAsia="仿宋" w:cs="仿宋"/>
                <w:sz w:val="21"/>
                <w:szCs w:val="21"/>
                <w:lang w:val="en-US" w:eastAsia="zh-CN"/>
              </w:rPr>
              <w:t>（危险化学品运输要求：每年周转</w:t>
            </w:r>
            <w:r>
              <w:rPr>
                <w:rFonts w:hint="default" w:ascii="仿宋" w:hAnsi="仿宋" w:eastAsia="仿宋" w:cs="仿宋"/>
                <w:sz w:val="21"/>
                <w:szCs w:val="21"/>
                <w:lang w:val="en-US" w:eastAsia="zh-CN"/>
              </w:rPr>
              <w:t>2</w:t>
            </w:r>
            <w:r>
              <w:rPr>
                <w:rFonts w:hint="eastAsia" w:ascii="仿宋" w:hAnsi="仿宋" w:eastAsia="仿宋" w:cs="仿宋"/>
                <w:sz w:val="21"/>
                <w:szCs w:val="21"/>
                <w:lang w:val="en-US" w:eastAsia="zh-CN"/>
              </w:rPr>
              <w:t>次）。硫酸罐基础采用钢筋混凝土条形基础，罐区周边设置砖混围堰，围堰和罐区地面进行防腐、防渗处理。同时建设装卸车场地、硫酸地下槽、事故水池等设施。</w:t>
            </w:r>
          </w:p>
          <w:p>
            <w:pPr>
              <w:ind w:firstLine="420" w:firstLineChars="200"/>
              <w:rPr>
                <w:rFonts w:hint="eastAsia" w:ascii="仿宋" w:hAnsi="仿宋" w:eastAsia="仿宋" w:cs="仿宋"/>
                <w:sz w:val="21"/>
                <w:szCs w:val="21"/>
              </w:rPr>
            </w:pPr>
            <w:r>
              <w:rPr>
                <w:rFonts w:hint="eastAsia" w:ascii="仿宋" w:hAnsi="仿宋" w:eastAsia="仿宋" w:cs="仿宋"/>
                <w:color w:val="191919"/>
                <w:sz w:val="21"/>
                <w:szCs w:val="21"/>
                <w:shd w:val="clear" w:color="auto" w:fill="FFFFFF"/>
                <w:lang w:val="en-US" w:eastAsia="zh-CN"/>
              </w:rPr>
              <w:t>一、经审查</w:t>
            </w:r>
            <w:r>
              <w:rPr>
                <w:rFonts w:hint="eastAsia" w:ascii="仿宋" w:hAnsi="仿宋" w:eastAsia="仿宋" w:cs="仿宋"/>
                <w:sz w:val="21"/>
                <w:szCs w:val="21"/>
                <w:lang w:val="en-US" w:eastAsia="zh-CN"/>
              </w:rPr>
              <w:t>，项目建设取得了隆化县数据与政务服务局出具的该项目建议书的批复（备案编号：隆数政投资备〔</w:t>
            </w:r>
            <w:r>
              <w:rPr>
                <w:rFonts w:hint="default" w:ascii="仿宋" w:hAnsi="仿宋" w:eastAsia="仿宋" w:cs="仿宋"/>
                <w:sz w:val="21"/>
                <w:szCs w:val="21"/>
                <w:lang w:val="en-US" w:eastAsia="zh-CN"/>
              </w:rPr>
              <w:t>2024</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9</w:t>
            </w:r>
            <w:r>
              <w:rPr>
                <w:rFonts w:hint="eastAsia" w:ascii="仿宋" w:hAnsi="仿宋" w:eastAsia="仿宋" w:cs="仿宋"/>
                <w:sz w:val="21"/>
                <w:szCs w:val="21"/>
                <w:lang w:val="en-US" w:eastAsia="zh-CN"/>
              </w:rPr>
              <w:t>4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w:t>
            </w:r>
            <w:r>
              <w:rPr>
                <w:rFonts w:hint="eastAsia" w:ascii="仿宋" w:hAnsi="仿宋" w:eastAsia="仿宋" w:cs="仿宋"/>
                <w:sz w:val="21"/>
                <w:szCs w:val="21"/>
              </w:rPr>
              <w:t>重点做好以下工作：</w:t>
            </w:r>
          </w:p>
          <w:p>
            <w:pPr>
              <w:numPr>
                <w:ilvl w:val="0"/>
                <w:numId w:val="0"/>
              </w:numPr>
              <w:ind w:firstLine="420" w:firstLineChars="200"/>
              <w:rPr>
                <w:rStyle w:val="10"/>
                <w:rFonts w:hint="eastAsia" w:ascii="仿宋" w:hAnsi="仿宋" w:eastAsia="仿宋" w:cs="仿宋"/>
                <w:b w:val="0"/>
                <w:color w:val="191919"/>
                <w:sz w:val="21"/>
                <w:szCs w:val="21"/>
                <w:shd w:val="clear" w:color="auto" w:fill="FFFFFF"/>
              </w:rPr>
            </w:pPr>
            <w:r>
              <w:rPr>
                <w:rStyle w:val="10"/>
                <w:rFonts w:hint="eastAsia" w:ascii="仿宋" w:hAnsi="仿宋" w:eastAsia="仿宋" w:cs="仿宋"/>
                <w:b w:val="0"/>
                <w:color w:val="191919"/>
                <w:sz w:val="21"/>
                <w:szCs w:val="21"/>
                <w:shd w:val="clear" w:color="auto" w:fill="FFFFFF"/>
              </w:rPr>
              <w:t>（一）加强环境管理及监测。</w:t>
            </w:r>
          </w:p>
          <w:p>
            <w:pPr>
              <w:ind w:firstLine="420" w:firstLineChars="200"/>
              <w:rPr>
                <w:rStyle w:val="10"/>
                <w:rFonts w:hint="default" w:ascii="仿宋" w:hAnsi="仿宋" w:eastAsia="仿宋" w:cs="仿宋"/>
                <w:b w:val="0"/>
                <w:color w:val="191919"/>
                <w:sz w:val="21"/>
                <w:szCs w:val="21"/>
                <w:shd w:val="clear" w:color="auto" w:fill="FFFFFF"/>
                <w:lang w:val="en-US"/>
              </w:rPr>
            </w:pPr>
            <w:r>
              <w:rPr>
                <w:rFonts w:hint="eastAsia" w:ascii="仿宋" w:hAnsi="仿宋" w:eastAsia="仿宋" w:cs="仿宋"/>
                <w:sz w:val="21"/>
                <w:szCs w:val="21"/>
              </w:rPr>
              <w:t>该项目在建设</w:t>
            </w:r>
            <w:r>
              <w:rPr>
                <w:rFonts w:hint="eastAsia" w:ascii="仿宋" w:hAnsi="仿宋" w:eastAsia="仿宋" w:cs="仿宋"/>
                <w:sz w:val="21"/>
                <w:szCs w:val="21"/>
                <w:lang w:val="en-US" w:eastAsia="zh-CN"/>
              </w:rPr>
              <w:t>和生产</w:t>
            </w:r>
            <w:r>
              <w:rPr>
                <w:rFonts w:hint="eastAsia" w:ascii="仿宋" w:hAnsi="仿宋" w:eastAsia="仿宋" w:cs="仿宋"/>
                <w:sz w:val="21"/>
                <w:szCs w:val="21"/>
              </w:rPr>
              <w:t>过程中必须严格遵守环保法律法规</w:t>
            </w:r>
            <w:r>
              <w:rPr>
                <w:rFonts w:hint="eastAsia" w:ascii="仿宋" w:hAnsi="仿宋" w:eastAsia="仿宋" w:cs="仿宋"/>
                <w:sz w:val="21"/>
                <w:szCs w:val="21"/>
                <w:lang w:eastAsia="zh-CN"/>
              </w:rPr>
              <w:t>，</w:t>
            </w:r>
            <w:r>
              <w:rPr>
                <w:rStyle w:val="10"/>
                <w:rFonts w:hint="eastAsia" w:ascii="仿宋" w:hAnsi="仿宋" w:eastAsia="仿宋" w:cs="仿宋"/>
                <w:b w:val="0"/>
                <w:color w:val="191919"/>
                <w:sz w:val="21"/>
                <w:szCs w:val="21"/>
                <w:shd w:val="clear" w:color="auto" w:fill="FFFFFF"/>
              </w:rPr>
              <w:t>建立健全企业内部环境管理机制，制定完善的环保规章制度，</w:t>
            </w:r>
            <w:r>
              <w:rPr>
                <w:rFonts w:hint="eastAsia" w:ascii="仿宋" w:hAnsi="仿宋" w:eastAsia="仿宋" w:cs="仿宋"/>
                <w:color w:val="191919"/>
                <w:sz w:val="21"/>
                <w:szCs w:val="21"/>
                <w:shd w:val="clear" w:color="auto" w:fill="FFFFFF"/>
                <w:lang w:val="en-US" w:eastAsia="zh-CN"/>
              </w:rPr>
              <w:t>制定切实可行的突发环境事件应急预案，严格落实预案中相关要求并定期进行应急演练，</w:t>
            </w:r>
            <w:r>
              <w:rPr>
                <w:rStyle w:val="10"/>
                <w:rFonts w:hint="eastAsia" w:ascii="仿宋" w:hAnsi="仿宋" w:eastAsia="仿宋" w:cs="仿宋"/>
                <w:b w:val="0"/>
                <w:color w:val="191919"/>
                <w:sz w:val="21"/>
                <w:szCs w:val="21"/>
                <w:shd w:val="clear" w:color="auto" w:fill="FFFFFF"/>
              </w:rPr>
              <w:t>加强日常运行及维护管理，确保各类污染物稳定达标排放、环境风险得到有效管控。规范排污口</w:t>
            </w:r>
            <w:r>
              <w:rPr>
                <w:rStyle w:val="10"/>
                <w:rFonts w:hint="eastAsia" w:ascii="仿宋" w:hAnsi="仿宋" w:eastAsia="仿宋" w:cs="仿宋"/>
                <w:b w:val="0"/>
                <w:color w:val="191919"/>
                <w:sz w:val="21"/>
                <w:szCs w:val="21"/>
                <w:shd w:val="clear" w:color="auto" w:fill="FFFFFF"/>
                <w:lang w:val="en-US" w:eastAsia="zh-CN"/>
              </w:rPr>
              <w:t>管理</w:t>
            </w:r>
            <w:r>
              <w:rPr>
                <w:rStyle w:val="10"/>
                <w:rFonts w:hint="eastAsia" w:ascii="仿宋" w:hAnsi="仿宋" w:eastAsia="仿宋" w:cs="仿宋"/>
                <w:b w:val="0"/>
                <w:color w:val="191919"/>
                <w:sz w:val="21"/>
                <w:szCs w:val="21"/>
                <w:shd w:val="clear" w:color="auto" w:fill="FFFFFF"/>
              </w:rPr>
              <w:t>，</w:t>
            </w:r>
            <w:r>
              <w:rPr>
                <w:rStyle w:val="10"/>
                <w:rFonts w:hint="eastAsia" w:ascii="仿宋" w:hAnsi="仿宋" w:eastAsia="仿宋" w:cs="仿宋"/>
                <w:b w:val="0"/>
                <w:color w:val="191919"/>
                <w:sz w:val="21"/>
                <w:szCs w:val="21"/>
                <w:shd w:val="clear" w:color="auto" w:fill="FFFFFF"/>
                <w:lang w:val="en-US" w:eastAsia="zh-CN"/>
              </w:rPr>
              <w:t>严格</w:t>
            </w:r>
            <w:r>
              <w:rPr>
                <w:rStyle w:val="10"/>
                <w:rFonts w:hint="eastAsia" w:ascii="仿宋" w:hAnsi="仿宋" w:eastAsia="仿宋" w:cs="仿宋"/>
                <w:b w:val="0"/>
                <w:color w:val="191919"/>
                <w:sz w:val="21"/>
                <w:szCs w:val="21"/>
                <w:shd w:val="clear" w:color="auto" w:fill="FFFFFF"/>
              </w:rPr>
              <w:t>落实环境监测计划</w:t>
            </w:r>
            <w:r>
              <w:rPr>
                <w:rStyle w:val="10"/>
                <w:rFonts w:hint="eastAsia" w:ascii="仿宋" w:hAnsi="仿宋" w:eastAsia="仿宋" w:cs="仿宋"/>
                <w:b w:val="0"/>
                <w:color w:val="191919"/>
                <w:sz w:val="21"/>
                <w:szCs w:val="21"/>
                <w:shd w:val="clear" w:color="auto" w:fill="FFFFFF"/>
                <w:lang w:eastAsia="zh-CN"/>
              </w:rPr>
              <w:t>。</w:t>
            </w:r>
          </w:p>
          <w:p>
            <w:pPr>
              <w:ind w:firstLine="420" w:firstLineChars="200"/>
              <w:rPr>
                <w:rStyle w:val="10"/>
                <w:rFonts w:hint="eastAsia" w:ascii="仿宋" w:hAnsi="仿宋" w:eastAsia="仿宋" w:cs="仿宋"/>
                <w:b w:val="0"/>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rPr>
              <w:t>（二）落实各项污染防治措施</w:t>
            </w:r>
            <w:r>
              <w:rPr>
                <w:rFonts w:hint="eastAsia" w:ascii="仿宋" w:hAnsi="仿宋" w:eastAsia="仿宋" w:cs="仿宋"/>
                <w:sz w:val="21"/>
                <w:szCs w:val="21"/>
                <w:lang w:val="en-US" w:eastAsia="zh-CN"/>
              </w:rPr>
              <w:t>。</w:t>
            </w:r>
          </w:p>
          <w:p>
            <w:pPr>
              <w:ind w:firstLine="420" w:firstLineChars="200"/>
              <w:rPr>
                <w:rFonts w:hint="eastAsia" w:ascii="仿宋" w:hAnsi="仿宋" w:eastAsia="仿宋" w:cs="仿宋"/>
                <w:color w:val="191919"/>
                <w:sz w:val="21"/>
                <w:szCs w:val="21"/>
                <w:shd w:val="clear" w:color="auto" w:fill="FFFFFF"/>
                <w:lang w:val="en-US" w:eastAsia="zh-CN"/>
              </w:rPr>
            </w:pPr>
            <w:r>
              <w:rPr>
                <w:rStyle w:val="10"/>
                <w:rFonts w:hint="eastAsia" w:ascii="仿宋" w:hAnsi="仿宋" w:eastAsia="仿宋" w:cs="仿宋"/>
                <w:b w:val="0"/>
                <w:color w:val="191919"/>
                <w:sz w:val="21"/>
                <w:szCs w:val="21"/>
                <w:shd w:val="clear" w:color="auto" w:fill="FFFFFF"/>
                <w:lang w:val="en-US" w:eastAsia="zh-CN"/>
              </w:rPr>
              <w:t>1.项目施工期产生的生活污水</w:t>
            </w:r>
            <w:r>
              <w:rPr>
                <w:rFonts w:hint="eastAsia" w:ascii="仿宋" w:hAnsi="仿宋" w:eastAsia="仿宋" w:cs="仿宋"/>
                <w:color w:val="191919"/>
                <w:sz w:val="21"/>
                <w:szCs w:val="21"/>
                <w:shd w:val="clear" w:color="auto" w:fill="FFFFFF"/>
                <w:lang w:val="en-US" w:eastAsia="zh-CN"/>
              </w:rPr>
              <w:t>主要为施工人员盥洗废水，就地泼洒，用于抑尘；施工场地设置简易沉淀池，施工期废水经沉淀池沉淀后再用于车辆清洗，多余的就地泼洒，用于场地降尘，不外排。运营期产生的生活污水排入化粪池，定期清掏；雨水排放到集水坑后，初期雨水由泵泵入事故水池，最后定期由运输车拉至承德黎河肥业有限公司回用，其他雨水散排至园区雨水管网。</w:t>
            </w:r>
          </w:p>
          <w:p>
            <w:pPr>
              <w:ind w:firstLine="420" w:firstLineChars="200"/>
              <w:rPr>
                <w:rFonts w:hint="eastAsia" w:ascii="仿宋" w:hAnsi="仿宋" w:eastAsia="仿宋" w:cs="仿宋"/>
                <w:color w:val="191919"/>
                <w:sz w:val="21"/>
                <w:szCs w:val="21"/>
                <w:shd w:val="clear" w:color="auto" w:fill="FFFFFF"/>
                <w:lang w:val="en-US" w:eastAsia="zh-CN"/>
              </w:rPr>
            </w:pPr>
            <w:r>
              <w:rPr>
                <w:rFonts w:hint="eastAsia" w:ascii="仿宋" w:hAnsi="仿宋" w:eastAsia="仿宋" w:cs="仿宋"/>
                <w:color w:val="191919"/>
                <w:sz w:val="21"/>
                <w:szCs w:val="21"/>
                <w:shd w:val="clear" w:color="auto" w:fill="FFFFFF"/>
                <w:lang w:val="en-US" w:eastAsia="zh-CN"/>
              </w:rPr>
              <w:t>2.项目施工期严格按照《河北省大气污染防治行动计划实施方案》（</w:t>
            </w:r>
            <w:r>
              <w:rPr>
                <w:rFonts w:hint="default" w:ascii="仿宋" w:hAnsi="仿宋" w:eastAsia="仿宋" w:cs="仿宋"/>
                <w:color w:val="191919"/>
                <w:sz w:val="21"/>
                <w:szCs w:val="21"/>
                <w:shd w:val="clear" w:color="auto" w:fill="FFFFFF"/>
                <w:lang w:val="en-US" w:eastAsia="zh-CN"/>
              </w:rPr>
              <w:t xml:space="preserve">2013 </w:t>
            </w:r>
            <w:r>
              <w:rPr>
                <w:rFonts w:hint="eastAsia" w:ascii="仿宋" w:hAnsi="仿宋" w:eastAsia="仿宋" w:cs="仿宋"/>
                <w:color w:val="191919"/>
                <w:sz w:val="21"/>
                <w:szCs w:val="21"/>
                <w:shd w:val="clear" w:color="auto" w:fill="FFFFFF"/>
                <w:lang w:val="en-US" w:eastAsia="zh-CN"/>
              </w:rPr>
              <w:t xml:space="preserve">年 </w:t>
            </w:r>
            <w:r>
              <w:rPr>
                <w:rFonts w:hint="default" w:ascii="仿宋" w:hAnsi="仿宋" w:eastAsia="仿宋" w:cs="仿宋"/>
                <w:color w:val="191919"/>
                <w:sz w:val="21"/>
                <w:szCs w:val="21"/>
                <w:shd w:val="clear" w:color="auto" w:fill="FFFFFF"/>
                <w:lang w:val="en-US" w:eastAsia="zh-CN"/>
              </w:rPr>
              <w:t xml:space="preserve">9 </w:t>
            </w:r>
            <w:r>
              <w:rPr>
                <w:rFonts w:hint="eastAsia" w:ascii="仿宋" w:hAnsi="仿宋" w:eastAsia="仿宋" w:cs="仿宋"/>
                <w:color w:val="191919"/>
                <w:sz w:val="21"/>
                <w:szCs w:val="21"/>
                <w:shd w:val="clear" w:color="auto" w:fill="FFFFFF"/>
                <w:lang w:val="en-US" w:eastAsia="zh-CN"/>
              </w:rPr>
              <w:t xml:space="preserve">月 </w:t>
            </w:r>
            <w:r>
              <w:rPr>
                <w:rFonts w:hint="default" w:ascii="仿宋" w:hAnsi="仿宋" w:eastAsia="仿宋" w:cs="仿宋"/>
                <w:color w:val="191919"/>
                <w:sz w:val="21"/>
                <w:szCs w:val="21"/>
                <w:shd w:val="clear" w:color="auto" w:fill="FFFFFF"/>
                <w:lang w:val="en-US" w:eastAsia="zh-CN"/>
              </w:rPr>
              <w:t xml:space="preserve">6 </w:t>
            </w:r>
            <w:r>
              <w:rPr>
                <w:rFonts w:hint="eastAsia" w:ascii="仿宋" w:hAnsi="仿宋" w:eastAsia="仿宋" w:cs="仿宋"/>
                <w:color w:val="191919"/>
                <w:sz w:val="21"/>
                <w:szCs w:val="21"/>
                <w:shd w:val="clear" w:color="auto" w:fill="FFFFFF"/>
                <w:lang w:val="en-US" w:eastAsia="zh-CN"/>
              </w:rPr>
              <w:t xml:space="preserve">日）、《河北省扬尘污染防治办法》（河北省人民政府令〔2020〕1号）等相关规定，扬尘排放执行《施工场地扬尘排放标准》（DB13/2934-2019）表 </w:t>
            </w:r>
            <w:r>
              <w:rPr>
                <w:rFonts w:hint="default" w:ascii="仿宋" w:hAnsi="仿宋" w:eastAsia="仿宋" w:cs="仿宋"/>
                <w:color w:val="191919"/>
                <w:sz w:val="21"/>
                <w:szCs w:val="21"/>
                <w:shd w:val="clear" w:color="auto" w:fill="FFFFFF"/>
                <w:lang w:val="en-US" w:eastAsia="zh-CN"/>
              </w:rPr>
              <w:t>1</w:t>
            </w:r>
            <w:r>
              <w:rPr>
                <w:rFonts w:hint="eastAsia" w:ascii="仿宋" w:hAnsi="仿宋" w:eastAsia="仿宋" w:cs="仿宋"/>
                <w:color w:val="191919"/>
                <w:sz w:val="21"/>
                <w:szCs w:val="21"/>
                <w:shd w:val="clear" w:color="auto" w:fill="FFFFFF"/>
                <w:lang w:val="en-US" w:eastAsia="zh-CN"/>
              </w:rPr>
              <w:t>扬尘排放浓度限值。项目不生产硫酸，仅为硫酸仓储，硫酸储罐大小呼吸无组织排放的硫酸雾执行《大气污染物综合排放标准》（</w:t>
            </w:r>
            <w:r>
              <w:rPr>
                <w:rFonts w:hint="default" w:ascii="仿宋" w:hAnsi="仿宋" w:eastAsia="仿宋" w:cs="仿宋"/>
                <w:color w:val="191919"/>
                <w:sz w:val="21"/>
                <w:szCs w:val="21"/>
                <w:shd w:val="clear" w:color="auto" w:fill="FFFFFF"/>
                <w:lang w:val="en-US" w:eastAsia="zh-CN"/>
              </w:rPr>
              <w:t>GB16297-1996</w:t>
            </w:r>
            <w:r>
              <w:rPr>
                <w:rFonts w:hint="eastAsia" w:ascii="仿宋" w:hAnsi="仿宋" w:eastAsia="仿宋" w:cs="仿宋"/>
                <w:color w:val="191919"/>
                <w:sz w:val="21"/>
                <w:szCs w:val="21"/>
                <w:shd w:val="clear" w:color="auto" w:fill="FFFFFF"/>
                <w:lang w:val="en-US" w:eastAsia="zh-CN"/>
              </w:rPr>
              <w:t xml:space="preserve">）表 </w:t>
            </w:r>
            <w:r>
              <w:rPr>
                <w:rFonts w:hint="default" w:ascii="仿宋" w:hAnsi="仿宋" w:eastAsia="仿宋" w:cs="仿宋"/>
                <w:color w:val="191919"/>
                <w:sz w:val="21"/>
                <w:szCs w:val="21"/>
                <w:shd w:val="clear" w:color="auto" w:fill="FFFFFF"/>
                <w:lang w:val="en-US" w:eastAsia="zh-CN"/>
              </w:rPr>
              <w:t xml:space="preserve">2 </w:t>
            </w:r>
            <w:r>
              <w:rPr>
                <w:rFonts w:hint="eastAsia" w:ascii="仿宋" w:hAnsi="仿宋" w:eastAsia="仿宋" w:cs="仿宋"/>
                <w:color w:val="191919"/>
                <w:sz w:val="21"/>
                <w:szCs w:val="21"/>
                <w:shd w:val="clear" w:color="auto" w:fill="FFFFFF"/>
                <w:lang w:val="en-US" w:eastAsia="zh-CN"/>
              </w:rPr>
              <w:t>中硫酸雾排放限值。</w:t>
            </w:r>
          </w:p>
          <w:p>
            <w:pPr>
              <w:ind w:firstLine="420" w:firstLineChars="200"/>
              <w:rPr>
                <w:rFonts w:hint="eastAsia" w:ascii="仿宋" w:hAnsi="仿宋" w:eastAsia="仿宋" w:cs="仿宋"/>
                <w:kern w:val="0"/>
                <w:sz w:val="21"/>
                <w:szCs w:val="21"/>
                <w:lang w:val="en-US" w:eastAsia="zh-CN" w:bidi="ar-SA"/>
              </w:rPr>
            </w:pPr>
            <w:bookmarkStart w:id="0" w:name="_GoBack"/>
            <w:bookmarkEnd w:id="0"/>
            <w:r>
              <w:rPr>
                <w:rFonts w:hint="eastAsia" w:ascii="仿宋" w:hAnsi="仿宋" w:eastAsia="仿宋" w:cs="仿宋"/>
                <w:sz w:val="21"/>
                <w:szCs w:val="21"/>
                <w:lang w:val="en-US" w:eastAsia="zh-CN"/>
              </w:rPr>
              <w:t>3.项目施工期采取加强施工管理，合理安排施工时间，运输路线优化选择，选</w:t>
            </w:r>
            <w:r>
              <w:rPr>
                <w:rFonts w:hint="eastAsia" w:ascii="仿宋" w:hAnsi="仿宋" w:eastAsia="仿宋" w:cs="仿宋"/>
                <w:kern w:val="0"/>
                <w:sz w:val="21"/>
                <w:szCs w:val="21"/>
                <w:lang w:val="en-US" w:eastAsia="zh-CN" w:bidi="ar-SA"/>
              </w:rPr>
              <w:t>用低噪声设备等措施，施工期噪声执行《建筑施工场界环境噪声排放标准》（GB12523-2011）</w:t>
            </w:r>
            <w:r>
              <w:rPr>
                <w:rFonts w:hint="eastAsia" w:ascii="仿宋" w:hAnsi="仿宋" w:eastAsia="仿宋" w:cs="仿宋"/>
                <w:color w:val="191919"/>
                <w:sz w:val="21"/>
                <w:szCs w:val="21"/>
                <w:shd w:val="clear" w:color="auto" w:fill="FFFFFF"/>
                <w:lang w:val="en-US" w:eastAsia="zh-CN"/>
              </w:rPr>
              <w:t xml:space="preserve">表 </w:t>
            </w:r>
            <w:r>
              <w:rPr>
                <w:rFonts w:hint="default" w:ascii="仿宋" w:hAnsi="仿宋" w:eastAsia="仿宋" w:cs="仿宋"/>
                <w:color w:val="191919"/>
                <w:sz w:val="21"/>
                <w:szCs w:val="21"/>
                <w:shd w:val="clear" w:color="auto" w:fill="FFFFFF"/>
                <w:lang w:val="en-US" w:eastAsia="zh-CN"/>
              </w:rPr>
              <w:t xml:space="preserve">1 </w:t>
            </w:r>
            <w:r>
              <w:rPr>
                <w:rFonts w:hint="eastAsia" w:ascii="仿宋" w:hAnsi="仿宋" w:eastAsia="仿宋" w:cs="仿宋"/>
                <w:color w:val="191919"/>
                <w:sz w:val="21"/>
                <w:szCs w:val="21"/>
                <w:shd w:val="clear" w:color="auto" w:fill="FFFFFF"/>
                <w:lang w:val="en-US" w:eastAsia="zh-CN"/>
              </w:rPr>
              <w:t>的排放限值</w:t>
            </w:r>
            <w:r>
              <w:rPr>
                <w:rFonts w:hint="eastAsia" w:ascii="仿宋" w:hAnsi="仿宋" w:eastAsia="仿宋" w:cs="仿宋"/>
                <w:kern w:val="0"/>
                <w:sz w:val="21"/>
                <w:szCs w:val="21"/>
                <w:lang w:val="en-US" w:eastAsia="zh-CN" w:bidi="ar-SA"/>
              </w:rPr>
              <w:t>。项目选用低噪声设备、平时加强硫酸装卸等设备的维修保养、加强职工环保意识教育、对进出车辆进行限速，禁止鸣笛，项目厂界噪声均满足《工业企业厂界环境噪声排放标准》（</w:t>
            </w:r>
            <w:r>
              <w:rPr>
                <w:rFonts w:hint="default" w:ascii="仿宋" w:hAnsi="仿宋" w:eastAsia="仿宋" w:cs="仿宋"/>
                <w:kern w:val="0"/>
                <w:sz w:val="21"/>
                <w:szCs w:val="21"/>
                <w:lang w:val="en-US" w:eastAsia="zh-CN" w:bidi="ar-SA"/>
              </w:rPr>
              <w:t>GB12348-2008</w:t>
            </w:r>
            <w:r>
              <w:rPr>
                <w:rFonts w:hint="eastAsia" w:ascii="仿宋" w:hAnsi="仿宋" w:eastAsia="仿宋" w:cs="仿宋"/>
                <w:kern w:val="0"/>
                <w:sz w:val="21"/>
                <w:szCs w:val="21"/>
                <w:lang w:val="en-US" w:eastAsia="zh-CN" w:bidi="ar-SA"/>
              </w:rPr>
              <w:t>）中的</w:t>
            </w:r>
            <w:r>
              <w:rPr>
                <w:rFonts w:hint="default" w:ascii="仿宋" w:hAnsi="仿宋" w:eastAsia="仿宋" w:cs="仿宋"/>
                <w:kern w:val="0"/>
                <w:sz w:val="21"/>
                <w:szCs w:val="21"/>
                <w:lang w:val="en-US" w:eastAsia="zh-CN" w:bidi="ar-SA"/>
              </w:rPr>
              <w:t>3</w:t>
            </w:r>
            <w:r>
              <w:rPr>
                <w:rFonts w:hint="eastAsia" w:ascii="仿宋" w:hAnsi="仿宋" w:eastAsia="仿宋" w:cs="仿宋"/>
                <w:kern w:val="0"/>
                <w:sz w:val="21"/>
                <w:szCs w:val="21"/>
                <w:lang w:val="en-US" w:eastAsia="zh-CN" w:bidi="ar-SA"/>
              </w:rPr>
              <w:t>类标准。</w:t>
            </w:r>
          </w:p>
          <w:p>
            <w:pPr>
              <w:keepNext w:val="0"/>
              <w:keepLines w:val="0"/>
              <w:widowControl/>
              <w:suppressLineNumbers w:val="0"/>
              <w:ind w:firstLine="420" w:firstLineChars="200"/>
              <w:jc w:val="left"/>
              <w:rPr>
                <w:rFonts w:hint="eastAsia" w:ascii="仿宋" w:hAnsi="仿宋" w:eastAsia="仿宋" w:cs="仿宋"/>
                <w:color w:val="0000FF"/>
                <w:sz w:val="21"/>
                <w:szCs w:val="21"/>
                <w:lang w:val="en-US" w:eastAsia="zh-CN"/>
              </w:rPr>
            </w:pPr>
            <w:r>
              <w:rPr>
                <w:rFonts w:hint="eastAsia" w:ascii="仿宋" w:hAnsi="仿宋" w:eastAsia="仿宋" w:cs="仿宋"/>
                <w:color w:val="191919"/>
                <w:sz w:val="21"/>
                <w:szCs w:val="21"/>
                <w:shd w:val="clear" w:color="auto" w:fill="FFFFFF"/>
                <w:lang w:val="en-US" w:eastAsia="zh-CN"/>
              </w:rPr>
              <w:t>4.建设过程中产生的砂石、石块等建筑垃圾部分回收利用，部分运至政府指定的建筑垃圾堆放场处置。生活垃圾由环卫部门</w:t>
            </w:r>
            <w:r>
              <w:rPr>
                <w:rFonts w:hint="eastAsia" w:ascii="仿宋" w:hAnsi="仿宋" w:eastAsia="仿宋" w:cs="仿宋"/>
                <w:kern w:val="0"/>
                <w:sz w:val="21"/>
                <w:szCs w:val="21"/>
                <w:lang w:val="en-US" w:eastAsia="zh-CN" w:bidi="ar-SA"/>
              </w:rPr>
              <w:t>统一收集后送生活垃圾处置场处置。项目运营期不设置危废间，清罐前委托有资质单位进行检修，清出的罐渣不在厂区内贮存，由该单位危险废物运输车当场拉走进行贮存或处理。生活垃圾收集后由环卫部门统一处理。一般工业固体废物执行《一般工业固体废物贮存和填埋污染控制标准》（</w:t>
            </w:r>
            <w:r>
              <w:rPr>
                <w:rFonts w:hint="default" w:ascii="仿宋" w:hAnsi="仿宋" w:eastAsia="仿宋" w:cs="仿宋"/>
                <w:kern w:val="0"/>
                <w:sz w:val="21"/>
                <w:szCs w:val="21"/>
                <w:lang w:val="en-US" w:eastAsia="zh-CN" w:bidi="ar-SA"/>
              </w:rPr>
              <w:t>GB18599-2020</w:t>
            </w:r>
            <w:r>
              <w:rPr>
                <w:rFonts w:hint="eastAsia" w:ascii="仿宋" w:hAnsi="仿宋" w:eastAsia="仿宋" w:cs="仿宋"/>
                <w:kern w:val="0"/>
                <w:sz w:val="21"/>
                <w:szCs w:val="21"/>
                <w:lang w:val="en-US" w:eastAsia="zh-CN" w:bidi="ar-SA"/>
              </w:rPr>
              <w:t>）。危险废物执行《危险废物贮存污染控制标准》（</w:t>
            </w:r>
            <w:r>
              <w:rPr>
                <w:rFonts w:hint="default" w:ascii="仿宋" w:hAnsi="仿宋" w:eastAsia="仿宋" w:cs="仿宋"/>
                <w:kern w:val="0"/>
                <w:sz w:val="21"/>
                <w:szCs w:val="21"/>
                <w:lang w:val="en-US" w:eastAsia="zh-CN" w:bidi="ar-SA"/>
              </w:rPr>
              <w:t>GB18597-2023</w:t>
            </w:r>
            <w:r>
              <w:rPr>
                <w:rFonts w:hint="eastAsia" w:ascii="仿宋" w:hAnsi="仿宋" w:eastAsia="仿宋" w:cs="仿宋"/>
                <w:kern w:val="0"/>
                <w:sz w:val="21"/>
                <w:szCs w:val="21"/>
                <w:lang w:val="en-US" w:eastAsia="zh-CN" w:bidi="ar-SA"/>
              </w:rPr>
              <w:t>）相关标准。</w:t>
            </w:r>
          </w:p>
          <w:p>
            <w:pPr>
              <w:keepNext w:val="0"/>
              <w:keepLines w:val="0"/>
              <w:pageBreakBefore w:val="0"/>
              <w:widowControl/>
              <w:suppressLineNumbers w:val="0"/>
              <w:wordWrap/>
              <w:overflowPunct/>
              <w:topLinePunct w:val="0"/>
              <w:bidi w:val="0"/>
              <w:spacing w:line="280" w:lineRule="atLeast"/>
              <w:ind w:firstLine="420" w:firstLineChars="200"/>
              <w:jc w:val="left"/>
              <w:rPr>
                <w:rFonts w:hint="eastAsia" w:ascii="仿宋" w:hAnsi="仿宋" w:eastAsia="仿宋" w:cs="仿宋"/>
                <w:sz w:val="21"/>
                <w:szCs w:val="21"/>
              </w:rPr>
            </w:pPr>
            <w:r>
              <w:rPr>
                <w:rFonts w:hint="eastAsia" w:ascii="仿宋" w:hAnsi="仿宋" w:eastAsia="仿宋" w:cs="仿宋"/>
                <w:sz w:val="21"/>
                <w:szCs w:val="21"/>
                <w:lang w:val="en-US" w:eastAsia="zh-CN"/>
              </w:rPr>
              <w:t>二、项目建设必须严格执行环境保护设施与主体工程同时设计、同时施工、同时投入使用的环保“三同时制度”。项目建成后，按规定程序实施竣工环境保护验收。</w:t>
            </w:r>
            <w:r>
              <w:rPr>
                <w:rFonts w:hint="eastAsia" w:ascii="仿宋" w:hAnsi="仿宋" w:eastAsia="仿宋" w:cs="仿宋"/>
                <w:sz w:val="21"/>
                <w:szCs w:val="21"/>
              </w:rPr>
              <w:t>项目投运后，控制全厂SO</w:t>
            </w:r>
            <w:r>
              <w:rPr>
                <w:rFonts w:hint="eastAsia" w:ascii="仿宋" w:hAnsi="仿宋" w:eastAsia="仿宋" w:cs="仿宋"/>
                <w:sz w:val="21"/>
                <w:szCs w:val="21"/>
                <w:vertAlign w:val="subscript"/>
              </w:rPr>
              <w:t>2</w:t>
            </w:r>
            <w:r>
              <w:rPr>
                <w:rFonts w:hint="eastAsia" w:ascii="仿宋" w:hAnsi="仿宋" w:eastAsia="仿宋" w:cs="仿宋"/>
                <w:sz w:val="21"/>
                <w:szCs w:val="21"/>
                <w:lang w:eastAsia="zh-CN"/>
              </w:rPr>
              <w:t>、</w:t>
            </w:r>
            <w:r>
              <w:rPr>
                <w:rFonts w:hint="eastAsia" w:ascii="仿宋" w:hAnsi="仿宋" w:eastAsia="仿宋" w:cs="仿宋"/>
                <w:sz w:val="21"/>
                <w:szCs w:val="21"/>
              </w:rPr>
              <w:t>NO</w:t>
            </w:r>
            <w:r>
              <w:rPr>
                <w:rFonts w:hint="eastAsia" w:ascii="仿宋" w:hAnsi="仿宋" w:eastAsia="仿宋" w:cs="仿宋"/>
                <w:sz w:val="21"/>
                <w:szCs w:val="21"/>
                <w:vertAlign w:val="subscript"/>
              </w:rPr>
              <w:t>x</w:t>
            </w:r>
            <w:r>
              <w:rPr>
                <w:rFonts w:hint="eastAsia" w:ascii="仿宋" w:hAnsi="仿宋" w:eastAsia="仿宋" w:cs="仿宋"/>
                <w:sz w:val="21"/>
                <w:szCs w:val="21"/>
                <w:vertAlign w:val="subscript"/>
                <w:lang w:eastAsia="zh-CN"/>
              </w:rPr>
              <w:t>、</w:t>
            </w:r>
            <w:r>
              <w:rPr>
                <w:rFonts w:hint="eastAsia" w:ascii="仿宋" w:hAnsi="仿宋" w:eastAsia="仿宋" w:cs="仿宋"/>
                <w:sz w:val="21"/>
                <w:szCs w:val="21"/>
                <w:lang w:val="en-US" w:eastAsia="zh-CN"/>
              </w:rPr>
              <w:t>COD</w:t>
            </w:r>
            <w:r>
              <w:rPr>
                <w:rFonts w:hint="eastAsia" w:ascii="仿宋" w:hAnsi="仿宋" w:eastAsia="仿宋" w:cs="仿宋"/>
                <w:sz w:val="21"/>
                <w:szCs w:val="21"/>
                <w:lang w:eastAsia="zh-CN"/>
              </w:rPr>
              <w:t>、</w:t>
            </w:r>
            <w:r>
              <w:rPr>
                <w:rFonts w:hint="eastAsia" w:ascii="仿宋" w:hAnsi="仿宋" w:eastAsia="仿宋" w:cs="仿宋"/>
                <w:sz w:val="21"/>
                <w:szCs w:val="21"/>
              </w:rPr>
              <w:t>NH</w:t>
            </w:r>
            <w:r>
              <w:rPr>
                <w:rFonts w:hint="eastAsia" w:ascii="仿宋" w:hAnsi="仿宋" w:eastAsia="仿宋" w:cs="仿宋"/>
                <w:sz w:val="21"/>
                <w:szCs w:val="21"/>
                <w:vertAlign w:val="subscript"/>
              </w:rPr>
              <w:t>3</w:t>
            </w:r>
            <w:r>
              <w:rPr>
                <w:rFonts w:hint="eastAsia" w:ascii="仿宋" w:hAnsi="仿宋" w:eastAsia="仿宋" w:cs="仿宋"/>
                <w:sz w:val="21"/>
                <w:szCs w:val="21"/>
              </w:rPr>
              <w:t>-N年排放量</w:t>
            </w:r>
            <w:r>
              <w:rPr>
                <w:rFonts w:hint="eastAsia" w:ascii="仿宋" w:hAnsi="仿宋" w:eastAsia="仿宋" w:cs="仿宋"/>
                <w:sz w:val="21"/>
                <w:szCs w:val="21"/>
                <w:lang w:val="en-US" w:eastAsia="zh-CN"/>
              </w:rPr>
              <w:t>全部为0</w:t>
            </w:r>
            <w:r>
              <w:rPr>
                <w:rFonts w:hint="eastAsia" w:ascii="仿宋" w:hAnsi="仿宋" w:eastAsia="仿宋" w:cs="仿宋"/>
                <w:sz w:val="21"/>
                <w:szCs w:val="21"/>
              </w:rPr>
              <w:t>吨</w:t>
            </w:r>
            <w:r>
              <w:rPr>
                <w:rFonts w:hint="eastAsia" w:ascii="仿宋" w:hAnsi="仿宋" w:eastAsia="仿宋" w:cs="仿宋"/>
                <w:sz w:val="21"/>
                <w:szCs w:val="21"/>
                <w:lang w:eastAsia="zh-CN"/>
              </w:rPr>
              <w:t>。</w:t>
            </w:r>
          </w:p>
          <w:p>
            <w:pPr>
              <w:ind w:firstLine="420" w:firstLineChars="200"/>
              <w:rPr>
                <w:rFonts w:hint="eastAsia" w:eastAsia="宋体"/>
                <w:lang w:val="en-US" w:eastAsia="zh-CN"/>
              </w:rPr>
            </w:pPr>
            <w:r>
              <w:rPr>
                <w:rFonts w:hint="eastAsia" w:ascii="仿宋" w:hAnsi="仿宋" w:eastAsia="仿宋" w:cs="仿宋"/>
                <w:sz w:val="21"/>
                <w:szCs w:val="21"/>
                <w:lang w:val="en-US" w:eastAsia="zh-CN"/>
              </w:rPr>
              <w:t>三、</w:t>
            </w:r>
            <w:r>
              <w:rPr>
                <w:rStyle w:val="10"/>
                <w:rFonts w:hint="eastAsia" w:ascii="仿宋" w:hAnsi="仿宋" w:eastAsia="仿宋" w:cs="仿宋"/>
                <w:b w:val="0"/>
                <w:color w:val="191919"/>
                <w:sz w:val="21"/>
                <w:szCs w:val="21"/>
                <w:shd w:val="clear" w:color="auto" w:fill="FFFFFF"/>
              </w:rPr>
              <w:t>建设项目的环境影响评价文件经批准后，建设项目的性质、规模、地点、采用的生产工艺或者防治污染、防止生态破坏的措施发生重大变动的，建设单位应当重新报批建设项目的环境影响评价文件</w:t>
            </w:r>
            <w:r>
              <w:rPr>
                <w:rStyle w:val="10"/>
                <w:rFonts w:hint="eastAsia" w:ascii="仿宋" w:hAnsi="仿宋" w:eastAsia="仿宋" w:cs="仿宋"/>
                <w:b w:val="0"/>
                <w:color w:val="191919"/>
                <w:sz w:val="21"/>
                <w:szCs w:val="21"/>
                <w:shd w:val="clear" w:color="auto" w:fill="FFFFFF"/>
                <w:lang w:eastAsia="zh-CN"/>
              </w:rPr>
              <w:t>，</w:t>
            </w:r>
            <w:r>
              <w:rPr>
                <w:rFonts w:hint="eastAsia" w:ascii="仿宋" w:hAnsi="仿宋" w:eastAsia="仿宋" w:cs="仿宋"/>
                <w:sz w:val="21"/>
                <w:szCs w:val="21"/>
              </w:rPr>
              <w:t>或该项目环境影响评价文件自批准之日起超过五年，方决定开工建设的，环境影响评价文件应当报原审批部门重新审</w:t>
            </w:r>
            <w:r>
              <w:rPr>
                <w:rFonts w:hint="eastAsia" w:ascii="仿宋" w:hAnsi="仿宋" w:eastAsia="仿宋" w:cs="仿宋"/>
                <w:sz w:val="21"/>
                <w:szCs w:val="21"/>
                <w:lang w:val="en-US" w:eastAsia="zh-CN"/>
              </w:rPr>
              <w:t>核</w:t>
            </w:r>
            <w:r>
              <w:rPr>
                <w:rFonts w:hint="eastAsia" w:ascii="仿宋" w:hAnsi="仿宋" w:eastAsia="仿宋" w:cs="仿宋"/>
                <w:sz w:val="21"/>
                <w:szCs w:val="21"/>
                <w:lang w:eastAsia="zh-CN"/>
              </w:rPr>
              <w:t>。</w:t>
            </w:r>
          </w:p>
          <w:p>
            <w:pPr>
              <w:keepNext w:val="0"/>
              <w:keepLines w:val="0"/>
              <w:widowControl/>
              <w:suppressLineNumbers w:val="0"/>
              <w:ind w:firstLine="210" w:firstLineChars="100"/>
              <w:jc w:val="left"/>
              <w:rPr>
                <w:rFonts w:hint="eastAsia" w:ascii="仿宋" w:hAnsi="仿宋" w:eastAsia="仿宋" w:cs="仿宋"/>
                <w:kern w:val="2"/>
                <w:sz w:val="21"/>
                <w:szCs w:val="21"/>
                <w:lang w:val="en-US" w:eastAsia="zh-CN"/>
              </w:rPr>
            </w:pPr>
          </w:p>
          <w:p>
            <w:pPr>
              <w:keepNext w:val="0"/>
              <w:keepLines w:val="0"/>
              <w:widowControl/>
              <w:suppressLineNumbers w:val="0"/>
              <w:ind w:firstLine="630" w:firstLineChars="300"/>
              <w:jc w:val="left"/>
              <w:rPr>
                <w:rFonts w:ascii="仿宋_GB2312" w:hAnsi="宋体" w:eastAsia="仿宋_GB2312"/>
                <w:sz w:val="24"/>
              </w:rPr>
            </w:pPr>
            <w:r>
              <w:rPr>
                <w:rFonts w:hint="eastAsia" w:ascii="仿宋" w:hAnsi="仿宋" w:eastAsia="仿宋" w:cs="仿宋"/>
                <w:kern w:val="2"/>
                <w:sz w:val="21"/>
                <w:szCs w:val="21"/>
                <w:lang w:val="en-US" w:eastAsia="zh-CN"/>
              </w:rPr>
              <w:t>经办人：                                                       2024年12月25日</w:t>
            </w:r>
          </w:p>
        </w:tc>
      </w:tr>
    </w:tbl>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3C35590"/>
    <w:rsid w:val="04800841"/>
    <w:rsid w:val="05D71850"/>
    <w:rsid w:val="062A4D55"/>
    <w:rsid w:val="0639036B"/>
    <w:rsid w:val="08787C06"/>
    <w:rsid w:val="09D61E32"/>
    <w:rsid w:val="0A456F94"/>
    <w:rsid w:val="0B3903BD"/>
    <w:rsid w:val="0BB357F1"/>
    <w:rsid w:val="0C4F5441"/>
    <w:rsid w:val="0C7056C4"/>
    <w:rsid w:val="0EA520AE"/>
    <w:rsid w:val="0F2637C4"/>
    <w:rsid w:val="10E220C6"/>
    <w:rsid w:val="11962326"/>
    <w:rsid w:val="11D905EA"/>
    <w:rsid w:val="125123AD"/>
    <w:rsid w:val="12EA0B44"/>
    <w:rsid w:val="16AD66BB"/>
    <w:rsid w:val="17805F80"/>
    <w:rsid w:val="182843B8"/>
    <w:rsid w:val="185C6797"/>
    <w:rsid w:val="1A820940"/>
    <w:rsid w:val="1A911B59"/>
    <w:rsid w:val="1B0272A5"/>
    <w:rsid w:val="1B090D3B"/>
    <w:rsid w:val="1BEE01D9"/>
    <w:rsid w:val="1D4527AE"/>
    <w:rsid w:val="1DD9198E"/>
    <w:rsid w:val="1DF00D78"/>
    <w:rsid w:val="1E8606ED"/>
    <w:rsid w:val="1F983897"/>
    <w:rsid w:val="247B1229"/>
    <w:rsid w:val="253D5533"/>
    <w:rsid w:val="258874A7"/>
    <w:rsid w:val="259B3EDE"/>
    <w:rsid w:val="25F0248B"/>
    <w:rsid w:val="269E1AE0"/>
    <w:rsid w:val="27463420"/>
    <w:rsid w:val="295D3A99"/>
    <w:rsid w:val="2A5D28F9"/>
    <w:rsid w:val="2B7B16B3"/>
    <w:rsid w:val="2C7F39CF"/>
    <w:rsid w:val="2FA90493"/>
    <w:rsid w:val="316C2A5D"/>
    <w:rsid w:val="34502BDB"/>
    <w:rsid w:val="34677222"/>
    <w:rsid w:val="353A7AB7"/>
    <w:rsid w:val="35C9315D"/>
    <w:rsid w:val="36430044"/>
    <w:rsid w:val="36EF006E"/>
    <w:rsid w:val="37213D29"/>
    <w:rsid w:val="380A60B3"/>
    <w:rsid w:val="391F541C"/>
    <w:rsid w:val="3A77227A"/>
    <w:rsid w:val="3AA86B61"/>
    <w:rsid w:val="3BC033F5"/>
    <w:rsid w:val="3CE34EAB"/>
    <w:rsid w:val="3DFC1E32"/>
    <w:rsid w:val="3DFC3CBF"/>
    <w:rsid w:val="3E057984"/>
    <w:rsid w:val="3E0F14D8"/>
    <w:rsid w:val="3E900D92"/>
    <w:rsid w:val="40925627"/>
    <w:rsid w:val="425C3893"/>
    <w:rsid w:val="42F55D2B"/>
    <w:rsid w:val="432917FA"/>
    <w:rsid w:val="43EB7CA7"/>
    <w:rsid w:val="44375A7D"/>
    <w:rsid w:val="44B22B0D"/>
    <w:rsid w:val="47511730"/>
    <w:rsid w:val="477311C9"/>
    <w:rsid w:val="48D54C71"/>
    <w:rsid w:val="4988642A"/>
    <w:rsid w:val="4A0A0924"/>
    <w:rsid w:val="4A1726EE"/>
    <w:rsid w:val="4A303725"/>
    <w:rsid w:val="4A741418"/>
    <w:rsid w:val="4BF930AB"/>
    <w:rsid w:val="4C3B7A88"/>
    <w:rsid w:val="4D436B8B"/>
    <w:rsid w:val="4ED65758"/>
    <w:rsid w:val="50C65266"/>
    <w:rsid w:val="51305CF4"/>
    <w:rsid w:val="51546295"/>
    <w:rsid w:val="537A1E73"/>
    <w:rsid w:val="5494181D"/>
    <w:rsid w:val="54F61A33"/>
    <w:rsid w:val="554C0D69"/>
    <w:rsid w:val="556666D5"/>
    <w:rsid w:val="56100BFC"/>
    <w:rsid w:val="564D059A"/>
    <w:rsid w:val="58825B29"/>
    <w:rsid w:val="5AD80722"/>
    <w:rsid w:val="5C7D0FFE"/>
    <w:rsid w:val="5D7F6C71"/>
    <w:rsid w:val="60A46881"/>
    <w:rsid w:val="60B96269"/>
    <w:rsid w:val="63497F31"/>
    <w:rsid w:val="64DA405D"/>
    <w:rsid w:val="65C3030C"/>
    <w:rsid w:val="672F7A45"/>
    <w:rsid w:val="682C72B2"/>
    <w:rsid w:val="6BF66428"/>
    <w:rsid w:val="6C4106CC"/>
    <w:rsid w:val="6C773F36"/>
    <w:rsid w:val="6CC86594"/>
    <w:rsid w:val="6D8967FD"/>
    <w:rsid w:val="6DF254D4"/>
    <w:rsid w:val="6F1654F2"/>
    <w:rsid w:val="71B44793"/>
    <w:rsid w:val="72405D25"/>
    <w:rsid w:val="72707FCC"/>
    <w:rsid w:val="734D1831"/>
    <w:rsid w:val="75276451"/>
    <w:rsid w:val="75325449"/>
    <w:rsid w:val="75E937BB"/>
    <w:rsid w:val="764B55B9"/>
    <w:rsid w:val="76D8421F"/>
    <w:rsid w:val="785C4770"/>
    <w:rsid w:val="7A3D2CC4"/>
    <w:rsid w:val="7A735214"/>
    <w:rsid w:val="7BEC14D9"/>
    <w:rsid w:val="7C80111F"/>
    <w:rsid w:val="7DD03374"/>
    <w:rsid w:val="7E6528FF"/>
    <w:rsid w:val="7EC15006"/>
    <w:rsid w:val="7F355C97"/>
    <w:rsid w:val="7FBE0673"/>
    <w:rsid w:val="7FDF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100" w:after="100" w:line="377" w:lineRule="auto"/>
      <w:ind w:firstLine="766" w:firstLineChars="200"/>
      <w:outlineLvl w:val="3"/>
    </w:pPr>
    <w:rPr>
      <w:rFonts w:ascii="Arial" w:hAnsi="Arial" w:eastAsia="黑体"/>
      <w:b/>
      <w:bCs/>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2"/>
    <w:qFormat/>
    <w:uiPriority w:val="0"/>
    <w:pPr>
      <w:ind w:firstLine="420"/>
    </w:pPr>
  </w:style>
  <w:style w:type="paragraph" w:styleId="4">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qFormat/>
    <w:uiPriority w:val="0"/>
    <w:pPr>
      <w:ind w:left="240"/>
    </w:pPr>
    <w:rPr>
      <w:rFonts w:ascii="Calibri" w:hAnsi="Calibri"/>
      <w:smallCaps/>
      <w:sz w:val="2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样式 样式 样式 四号 左侧:  1.53 厘米 + 首行缩进:  2 字符 + 居中 左侧:  2 字符 首行缩进:  2..."/>
    <w:basedOn w:val="12"/>
    <w:qFormat/>
    <w:uiPriority w:val="0"/>
    <w:pPr>
      <w:adjustRightInd w:val="0"/>
      <w:ind w:left="200" w:leftChars="200"/>
      <w:jc w:val="center"/>
    </w:pPr>
    <w:rPr>
      <w:w w:val="90"/>
      <w:sz w:val="28"/>
      <w:szCs w:val="20"/>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w w:val="90"/>
      <w:sz w:val="28"/>
      <w:szCs w:val="28"/>
    </w:rPr>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1549</Words>
  <Characters>1714</Characters>
  <Lines>9</Lines>
  <Paragraphs>2</Paragraphs>
  <TotalTime>2601</TotalTime>
  <ScaleCrop>false</ScaleCrop>
  <LinksUpToDate>false</LinksUpToDate>
  <CharactersWithSpaces>1825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2018-03-26T09:28:00Z</dcterms:created>
  <dc:creator>桑三博客</dc:creator>
  <cp:lastModifiedBy>user</cp:lastModifiedBy>
  <cp:lastPrinted>2023-05-24T14:18:00Z</cp:lastPrinted>
  <dcterms:modified xsi:type="dcterms:W3CDTF">2024-12-25T11:00:30Z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C7D5036CD2794381A3611AD522CDD8CA</vt:lpwstr>
  </property>
</Properties>
</file>