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adjustRightInd/>
        <w:snapToGrid/>
        <w:spacing w:line="680" w:lineRule="exact"/>
        <w:ind w:left="0" w:firstLine="0"/>
        <w:rPr>
          <w:rFonts w:hint="eastAsia" w:ascii="CESI小标宋-GB2312" w:eastAsia="CESI小标宋-GB2312" w:cs="CESI小标宋-GB2312"/>
          <w:b w:val="0"/>
          <w:bCs/>
          <w:i w:val="0"/>
          <w:caps w:val="0"/>
          <w:smallCaps w:val="0"/>
          <w:snapToGrid w:val="0"/>
          <w:color w:val="auto"/>
          <w:spacing w:val="0"/>
          <w:kern w:val="0"/>
          <w:sz w:val="44"/>
          <w:szCs w:val="44"/>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60" w:lineRule="exact"/>
        <w:ind w:left="0" w:firstLine="0"/>
        <w:jc w:val="center"/>
        <w:rPr>
          <w:rFonts w:ascii="方正小标宋简体" w:eastAsia="方正小标宋简体" w:cs="方正小标宋简体"/>
          <w:b/>
          <w:bCs/>
          <w:i w:val="0"/>
          <w:iCs w:val="0"/>
          <w:caps w:val="0"/>
          <w:smallCaps w:val="0"/>
          <w:color w:val="333333"/>
          <w:spacing w:val="0"/>
          <w:sz w:val="44"/>
          <w:szCs w:val="44"/>
          <w:shd w:val="clear" w:color="auto" w:fill="FFFFFF"/>
        </w:rPr>
      </w:pPr>
      <w:r>
        <w:rPr>
          <w:rFonts w:ascii="方正小标宋简体" w:eastAsia="方正小标宋简体" w:cs="方正小标宋简体"/>
          <w:b/>
          <w:bCs/>
          <w:i w:val="0"/>
          <w:iCs w:val="0"/>
          <w:caps w:val="0"/>
          <w:smallCaps w:val="0"/>
          <w:color w:val="333333"/>
          <w:spacing w:val="0"/>
          <w:sz w:val="44"/>
          <w:szCs w:val="44"/>
          <w:shd w:val="clear" w:color="auto" w:fill="FFFFFF"/>
          <w:lang w:val="en-US" w:eastAsia="zh-CN"/>
        </w:rPr>
        <w:t>隆化县人民政府办公室</w:t>
      </w:r>
      <w:r>
        <w:rPr>
          <w:rFonts w:hint="eastAsia" w:ascii="方正小标宋简体" w:eastAsia="方正小标宋简体" w:cs="方正小标宋简体"/>
          <w:b/>
          <w:bCs/>
          <w:i w:val="0"/>
          <w:iCs w:val="0"/>
          <w:caps w:val="0"/>
          <w:smallCaps w:val="0"/>
          <w:color w:val="333333"/>
          <w:spacing w:val="0"/>
          <w:sz w:val="44"/>
          <w:szCs w:val="44"/>
          <w:shd w:val="clear" w:color="auto" w:fill="FFFFFF"/>
          <w:lang w:val="en-US" w:eastAsia="zh-CN"/>
        </w:rPr>
        <w:t>2023年度</w:t>
      </w:r>
      <w:r>
        <w:rPr>
          <w:rFonts w:hint="eastAsia" w:ascii="方正小标宋简体" w:eastAsia="方正小标宋简体" w:cs="方正小标宋简体"/>
          <w:b/>
          <w:bCs/>
          <w:i w:val="0"/>
          <w:iCs w:val="0"/>
          <w:caps w:val="0"/>
          <w:smallCaps w:val="0"/>
          <w:color w:val="333333"/>
          <w:spacing w:val="0"/>
          <w:sz w:val="44"/>
          <w:szCs w:val="44"/>
          <w:shd w:val="clear" w:color="auto" w:fill="FFFFFF"/>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eastAsia="方正小标宋简体" w:cs="方正小标宋简体"/>
          <w:i w:val="0"/>
          <w:iCs w:val="0"/>
          <w:caps w:val="0"/>
          <w:smallCaps w:val="0"/>
          <w:color w:val="333333"/>
          <w:spacing w:val="0"/>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rPr>
          <w:rFonts w:hint="eastAsia" w:ascii="仿宋_GB2312" w:cs="宋体"/>
          <w:sz w:val="32"/>
          <w:szCs w:val="32"/>
        </w:rPr>
      </w:pPr>
      <w:r>
        <w:rPr>
          <w:rFonts w:hint="eastAsia" w:ascii="仿宋_GB2312" w:cs="宋体"/>
          <w:sz w:val="32"/>
          <w:szCs w:val="32"/>
        </w:rPr>
        <w:t>根据《中华人民共和国政府信息公开条例》和《国务院办公厅政府信息与政务公开办公室关于政府信息公开工作年度报告有关事项的通知》要求，</w:t>
      </w:r>
      <w:r>
        <w:rPr>
          <w:rFonts w:hint="eastAsia" w:ascii="仿宋_GB2312"/>
          <w:sz w:val="32"/>
          <w:szCs w:val="32"/>
        </w:rPr>
        <w:t>结合隆化县人民政府办公室202</w:t>
      </w:r>
      <w:r>
        <w:rPr>
          <w:rFonts w:hint="eastAsia"/>
          <w:sz w:val="32"/>
          <w:szCs w:val="32"/>
          <w:lang w:val="en-US" w:eastAsia="zh-CN"/>
        </w:rPr>
        <w:t>3</w:t>
      </w:r>
      <w:r>
        <w:rPr>
          <w:rFonts w:hint="eastAsia" w:ascii="仿宋_GB2312"/>
          <w:sz w:val="32"/>
          <w:szCs w:val="32"/>
        </w:rPr>
        <w:t>年度政府信息公开工作实际，编制本报告。本报告由202</w:t>
      </w:r>
      <w:r>
        <w:rPr>
          <w:rFonts w:hint="eastAsia"/>
          <w:sz w:val="32"/>
          <w:szCs w:val="32"/>
          <w:lang w:val="en-US" w:eastAsia="zh-CN"/>
        </w:rPr>
        <w:t>3</w:t>
      </w:r>
      <w:r>
        <w:rPr>
          <w:rFonts w:hint="eastAsia" w:ascii="仿宋_GB2312"/>
          <w:sz w:val="32"/>
          <w:szCs w:val="32"/>
        </w:rPr>
        <w:t>年度总体情况，行政机关主动公开政府信息情况，行政机关收到和处理政府信息公开申请情况，因政府信息公开工作被申请行政复议、提起行政诉讼情况，政府信息公开工作存在的主要问题及改进情况，其他需要报告的事项等六部分组成。本年度报告中所列数据的统计期限自202</w:t>
      </w:r>
      <w:r>
        <w:rPr>
          <w:rFonts w:hint="eastAsia"/>
          <w:sz w:val="32"/>
          <w:szCs w:val="32"/>
          <w:lang w:val="en-US" w:eastAsia="zh-CN"/>
        </w:rPr>
        <w:t>3</w:t>
      </w:r>
      <w:r>
        <w:rPr>
          <w:rFonts w:hint="eastAsia" w:ascii="仿宋_GB2312"/>
          <w:sz w:val="32"/>
          <w:szCs w:val="32"/>
        </w:rPr>
        <w:t>年1月1日起，至202</w:t>
      </w:r>
      <w:r>
        <w:rPr>
          <w:rFonts w:hint="eastAsia"/>
          <w:sz w:val="32"/>
          <w:szCs w:val="32"/>
          <w:lang w:val="en-US" w:eastAsia="zh-CN"/>
        </w:rPr>
        <w:t>3</w:t>
      </w:r>
      <w:r>
        <w:rPr>
          <w:rFonts w:hint="eastAsia" w:ascii="仿宋_GB2312"/>
          <w:sz w:val="32"/>
          <w:szCs w:val="32"/>
        </w:rPr>
        <w:t>年12月31日止，可在隆化县人民政府门户网站（http://www.hebeilonghua.gov.cn/）</w:t>
      </w:r>
      <w:r>
        <w:rPr>
          <w:rFonts w:ascii="仿宋_GB2312"/>
          <w:sz w:val="32"/>
          <w:szCs w:val="32"/>
        </w:rPr>
        <w:t xml:space="preserve"> </w:t>
      </w:r>
      <w:r>
        <w:rPr>
          <w:rFonts w:hint="eastAsia" w:ascii="仿宋_GB2312"/>
          <w:sz w:val="32"/>
          <w:szCs w:val="32"/>
        </w:rPr>
        <w:t>查询下载。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60" w:lineRule="exact"/>
        <w:ind w:firstLine="632" w:firstLineChars="200"/>
        <w:jc w:val="both"/>
        <w:rPr>
          <w:rFonts w:hint="eastAsia" w:ascii="黑体" w:eastAsia="黑体" w:cs="黑体"/>
          <w:color w:val="333333"/>
          <w:sz w:val="32"/>
          <w:szCs w:val="32"/>
        </w:rPr>
      </w:pPr>
      <w:r>
        <w:rPr>
          <w:rFonts w:hint="eastAsia" w:ascii="黑体" w:eastAsia="黑体" w:cs="黑体"/>
          <w:i w:val="0"/>
          <w:iCs w:val="0"/>
          <w:caps w:val="0"/>
          <w:smallCaps w:val="0"/>
          <w:color w:val="333333"/>
          <w:spacing w:val="0"/>
          <w:sz w:val="32"/>
          <w:szCs w:val="32"/>
          <w:shd w:val="clear" w:color="auto" w:fill="FFFFFF"/>
        </w:rPr>
        <w:t>一、总体情况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Style w:val="9"/>
          <w:rFonts w:hint="eastAsia" w:ascii="仿宋_GB2312" w:hAnsi="仿宋_GB2312" w:cs="仿宋_GB2312"/>
          <w:color w:val="333333"/>
          <w:szCs w:val="32"/>
        </w:rPr>
      </w:pPr>
      <w:r>
        <w:rPr>
          <w:rStyle w:val="9"/>
          <w:rFonts w:hint="eastAsia" w:ascii="楷体_GB2312" w:eastAsia="楷体_GB2312" w:cs="仿宋_GB2312"/>
          <w:color w:val="333333"/>
          <w:sz w:val="32"/>
        </w:rPr>
        <w:t>（一）主动公开方面。</w:t>
      </w:r>
      <w:r>
        <w:rPr>
          <w:rFonts w:hint="eastAsia" w:ascii="仿宋_GB2312"/>
          <w:color w:val="000000"/>
          <w:sz w:val="32"/>
          <w:szCs w:val="32"/>
          <w:shd w:val="clear" w:color="auto" w:fill="FFFFFF"/>
        </w:rPr>
        <w:t>202</w:t>
      </w:r>
      <w:r>
        <w:rPr>
          <w:rFonts w:hint="default"/>
          <w:color w:val="000000"/>
          <w:sz w:val="32"/>
          <w:szCs w:val="32"/>
          <w:shd w:val="clear" w:color="auto" w:fill="FFFFFF"/>
          <w:lang w:val="en-US"/>
        </w:rPr>
        <w:t>3</w:t>
      </w:r>
      <w:r>
        <w:rPr>
          <w:rFonts w:hint="eastAsia" w:ascii="仿宋_GB2312"/>
          <w:color w:val="000000"/>
          <w:sz w:val="32"/>
          <w:szCs w:val="32"/>
          <w:shd w:val="clear" w:color="auto" w:fill="FFFFFF"/>
        </w:rPr>
        <w:t>年隆化县政府办继续</w:t>
      </w:r>
      <w:r>
        <w:rPr>
          <w:rFonts w:hint="eastAsia" w:ascii="仿宋_GB2312"/>
          <w:color w:val="000000"/>
          <w:sz w:val="32"/>
          <w:szCs w:val="32"/>
          <w:shd w:val="clear" w:color="auto" w:fill="FFFFFF"/>
        </w:rPr>
        <w:t>坚持以公开为常态、不公开为例外的原则，</w:t>
      </w:r>
      <w:r>
        <w:rPr>
          <w:rFonts w:ascii="仿宋_GB2312" w:hAnsi="宋体" w:eastAsia="仿宋_GB2312" w:cs="仿宋_GB2312"/>
          <w:color w:val="auto"/>
          <w:spacing w:val="0"/>
          <w:kern w:val="0"/>
          <w:sz w:val="31"/>
          <w:szCs w:val="31"/>
          <w:lang w:val="en-US" w:eastAsia="zh-CN" w:bidi="ar"/>
        </w:rPr>
        <w:t>认真贯彻落实《中华人民共和国政府信息公开条例》，紧紧围绕</w:t>
      </w:r>
      <w:r>
        <w:rPr>
          <w:rFonts w:hint="eastAsia" w:ascii="仿宋_GB2312" w:hAnsi="宋体" w:eastAsia="仿宋_GB2312" w:cs="仿宋_GB2312"/>
          <w:color w:val="auto"/>
          <w:spacing w:val="0"/>
          <w:kern w:val="0"/>
          <w:sz w:val="31"/>
          <w:szCs w:val="31"/>
          <w:lang w:val="en-US" w:eastAsia="zh-CN" w:bidi="ar"/>
        </w:rPr>
        <w:t>县委、县政府重大决策部署和群众关注的焦点、热点问题，</w:t>
      </w:r>
      <w:r>
        <w:rPr>
          <w:rStyle w:val="10"/>
          <w:rFonts w:hint="eastAsia" w:ascii="仿宋_GB2312"/>
          <w:b w:val="0"/>
          <w:bCs w:val="0"/>
          <w:i w:val="0"/>
          <w:iCs w:val="0"/>
          <w:caps w:val="0"/>
          <w:smallCaps w:val="0"/>
          <w:spacing w:val="0"/>
          <w:szCs w:val="32"/>
        </w:rPr>
        <w:t>发布重要会议、重要决策部署等方面信息，及时更新重点领域政策动态</w:t>
      </w:r>
      <w:r>
        <w:rPr>
          <w:rFonts w:hint="eastAsia" w:ascii="仿宋_GB2312"/>
          <w:sz w:val="32"/>
          <w:szCs w:val="32"/>
        </w:rPr>
        <w:t>，</w:t>
      </w:r>
      <w:r>
        <w:rPr>
          <w:rFonts w:ascii="仿宋_GB2312" w:hAnsi="宋体" w:eastAsia="仿宋_GB2312" w:cs="仿宋_GB2312"/>
          <w:i w:val="0"/>
          <w:iCs w:val="0"/>
          <w:color w:val="000000"/>
          <w:spacing w:val="0"/>
          <w:kern w:val="0"/>
          <w:sz w:val="31"/>
          <w:szCs w:val="31"/>
          <w:shd w:val="clear" w:fill="FFFFFF"/>
          <w:lang w:val="en-US" w:eastAsia="zh-CN" w:bidi="ar"/>
        </w:rPr>
        <w:t>完善政务公开制度规范，主动公开政府信息，</w:t>
      </w:r>
      <w:r>
        <w:rPr>
          <w:rFonts w:hint="eastAsia" w:ascii="仿宋_GB2312"/>
          <w:sz w:val="32"/>
          <w:szCs w:val="32"/>
        </w:rPr>
        <w:t>提升了治理体系和治理能力现代化水平。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Style w:val="10"/>
          <w:rFonts w:hint="eastAsia" w:ascii="仿宋_GB2312"/>
          <w:b w:val="0"/>
          <w:szCs w:val="32"/>
        </w:rPr>
      </w:pPr>
      <w:r>
        <w:rPr>
          <w:rStyle w:val="9"/>
          <w:rFonts w:hint="eastAsia" w:ascii="楷体_GB2312" w:eastAsia="楷体_GB2312"/>
          <w:color w:val="333333"/>
          <w:sz w:val="32"/>
        </w:rPr>
        <w:t>（二） 依申请公开方面。</w:t>
      </w:r>
      <w:r>
        <w:rPr>
          <w:rFonts w:ascii="仿宋_GB2312" w:hAnsi="宋体" w:eastAsia="仿宋_GB2312" w:cs="仿宋_GB2312"/>
          <w:i w:val="0"/>
          <w:iCs w:val="0"/>
          <w:color w:val="000000"/>
          <w:spacing w:val="0"/>
          <w:kern w:val="0"/>
          <w:sz w:val="31"/>
          <w:szCs w:val="31"/>
          <w:shd w:val="clear" w:fill="FFFFFF"/>
          <w:lang w:val="en-US" w:eastAsia="zh-CN" w:bidi="ar"/>
        </w:rPr>
        <w:t>严格信息公开申请办理流程，</w:t>
      </w:r>
      <w:r>
        <w:rPr>
          <w:rStyle w:val="10"/>
          <w:rFonts w:hint="eastAsia" w:ascii="仿宋_GB2312"/>
          <w:b w:val="0"/>
          <w:szCs w:val="32"/>
        </w:rPr>
        <w:t>进一步健全完善了政府信息公开申请接收、登记、审核、办理、答复、归档工作制度</w:t>
      </w:r>
      <w:r>
        <w:rPr>
          <w:rStyle w:val="10"/>
          <w:rFonts w:hint="eastAsia"/>
          <w:b w:val="0"/>
          <w:szCs w:val="32"/>
        </w:rPr>
        <w:t>，</w:t>
      </w:r>
      <w:r>
        <w:rPr>
          <w:rStyle w:val="10"/>
          <w:rFonts w:hint="eastAsia" w:ascii="仿宋_GB2312"/>
          <w:b w:val="0"/>
          <w:szCs w:val="32"/>
        </w:rPr>
        <w:t>对政府信息公开申请答复进行了规范。</w:t>
      </w:r>
      <w:r>
        <w:rPr>
          <w:rFonts w:ascii="仿宋_GB2312" w:hAnsi="宋体" w:eastAsia="仿宋_GB2312" w:cs="仿宋_GB2312"/>
          <w:i w:val="0"/>
          <w:iCs w:val="0"/>
          <w:color w:val="000000"/>
          <w:spacing w:val="0"/>
          <w:kern w:val="0"/>
          <w:sz w:val="31"/>
          <w:szCs w:val="31"/>
          <w:shd w:val="clear" w:fill="FFFFFF"/>
          <w:lang w:val="en-US" w:eastAsia="zh-CN" w:bidi="ar"/>
        </w:rPr>
        <w:t>全年共受理依申请公开</w:t>
      </w:r>
      <w:r>
        <w:rPr>
          <w:rFonts w:hint="eastAsia" w:hAnsi="宋体" w:cs="仿宋_GB2312"/>
          <w:i w:val="0"/>
          <w:iCs w:val="0"/>
          <w:color w:val="000000"/>
          <w:spacing w:val="0"/>
          <w:kern w:val="0"/>
          <w:sz w:val="31"/>
          <w:szCs w:val="31"/>
          <w:shd w:val="clear" w:fill="FFFFFF"/>
          <w:lang w:val="en-US" w:eastAsia="zh-CN" w:bidi="ar"/>
        </w:rPr>
        <w:t>6</w:t>
      </w:r>
      <w:r>
        <w:rPr>
          <w:rFonts w:hint="eastAsia" w:ascii="仿宋_GB2312" w:hAnsi="宋体" w:eastAsia="仿宋_GB2312" w:cs="仿宋_GB2312"/>
          <w:i w:val="0"/>
          <w:iCs w:val="0"/>
          <w:color w:val="000000"/>
          <w:spacing w:val="0"/>
          <w:kern w:val="0"/>
          <w:sz w:val="31"/>
          <w:szCs w:val="31"/>
          <w:shd w:val="clear" w:fill="FFFFFF"/>
          <w:lang w:val="en-US" w:eastAsia="zh-CN" w:bidi="ar"/>
        </w:rPr>
        <w:t>件，全部按《条例》和《实施办法》规定予以答复。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宋体" w:eastAsia="仿宋_GB2312" w:cs="仿宋_GB2312"/>
          <w:i w:val="0"/>
          <w:iCs w:val="0"/>
          <w:color w:val="000000"/>
          <w:spacing w:val="0"/>
          <w:kern w:val="0"/>
          <w:sz w:val="31"/>
          <w:szCs w:val="31"/>
          <w:shd w:val="clear" w:fill="FFFFFF"/>
          <w:lang w:val="en-US" w:eastAsia="zh-CN" w:bidi="ar"/>
        </w:rPr>
      </w:pPr>
      <w:r>
        <w:rPr>
          <w:rStyle w:val="9"/>
          <w:rFonts w:hint="eastAsia" w:ascii="楷体_GB2312" w:eastAsia="楷体_GB2312"/>
          <w:color w:val="333333"/>
          <w:sz w:val="32"/>
        </w:rPr>
        <w:t>（三）政府信息管理方面。</w:t>
      </w:r>
      <w:r>
        <w:rPr>
          <w:rFonts w:hint="eastAsia" w:ascii="仿宋_GB2312" w:hAnsi="宋体" w:eastAsia="仿宋_GB2312" w:cs="仿宋_GB2312"/>
          <w:i w:val="0"/>
          <w:iCs w:val="0"/>
          <w:color w:val="000000"/>
          <w:spacing w:val="0"/>
          <w:kern w:val="0"/>
          <w:sz w:val="31"/>
          <w:szCs w:val="31"/>
          <w:shd w:val="clear" w:fill="FFFFFF"/>
          <w:lang w:val="en-US" w:eastAsia="zh-CN" w:bidi="ar"/>
        </w:rPr>
        <w:t>按照《条例》及国省市相关规定理顺工作机制，明确各信息工作的主管部门职能，形成上下齐抓共管的良好工作局面。坚持“谁公开、谁负责”原则严格实行政府信息公开工作责任制。进一步规范了政府信息公开工作流</w:t>
      </w:r>
      <w:r>
        <w:rPr>
          <w:rFonts w:hint="eastAsia" w:hAnsi="宋体" w:cs="仿宋_GB2312"/>
          <w:i w:val="0"/>
          <w:iCs w:val="0"/>
          <w:color w:val="000000"/>
          <w:spacing w:val="0"/>
          <w:kern w:val="0"/>
          <w:sz w:val="31"/>
          <w:szCs w:val="31"/>
          <w:shd w:val="clear" w:fill="FFFFFF"/>
          <w:lang w:val="en-US" w:eastAsia="zh-CN" w:bidi="ar"/>
        </w:rPr>
        <w:t>，</w:t>
      </w:r>
      <w:r>
        <w:rPr>
          <w:rFonts w:hint="eastAsia" w:ascii="仿宋_GB2312" w:hAnsi="宋体" w:eastAsia="仿宋_GB2312" w:cs="仿宋_GB2312"/>
          <w:i w:val="0"/>
          <w:iCs w:val="0"/>
          <w:color w:val="000000"/>
          <w:spacing w:val="0"/>
          <w:kern w:val="0"/>
          <w:sz w:val="31"/>
          <w:szCs w:val="31"/>
          <w:shd w:val="clear" w:fill="FFFFFF"/>
          <w:lang w:val="en-US" w:eastAsia="zh-CN" w:bidi="ar"/>
        </w:rPr>
        <w:t>加强政府文件公开属性源头认定，明确主动公开、依申请公开、不予公开等属性。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宋体" w:eastAsia="仿宋_GB2312" w:cs="仿宋_GB2312"/>
          <w:i w:val="0"/>
          <w:iCs w:val="0"/>
          <w:color w:val="000000"/>
          <w:spacing w:val="0"/>
          <w:kern w:val="0"/>
          <w:sz w:val="31"/>
          <w:szCs w:val="31"/>
          <w:shd w:val="clear" w:fill="FFFFFF"/>
          <w:lang w:val="en-US" w:eastAsia="zh-CN" w:bidi="ar"/>
        </w:rPr>
      </w:pPr>
      <w:r>
        <w:rPr>
          <w:rStyle w:val="9"/>
          <w:rFonts w:hint="eastAsia" w:ascii="楷体_GB2312" w:eastAsia="楷体_GB2312"/>
          <w:color w:val="333333"/>
          <w:sz w:val="32"/>
        </w:rPr>
        <w:t>（四）平台建设方面。</w:t>
      </w:r>
      <w:r>
        <w:rPr>
          <w:rFonts w:ascii="仿宋_GB2312" w:hAnsi="宋体" w:eastAsia="仿宋_GB2312" w:cs="仿宋_GB2312"/>
          <w:i w:val="0"/>
          <w:iCs w:val="0"/>
          <w:color w:val="000000"/>
          <w:spacing w:val="0"/>
          <w:kern w:val="0"/>
          <w:sz w:val="31"/>
          <w:szCs w:val="31"/>
          <w:shd w:val="clear" w:fill="FFFFFF"/>
          <w:lang w:val="en-US" w:eastAsia="zh-CN" w:bidi="ar"/>
        </w:rPr>
        <w:t>不</w:t>
      </w:r>
      <w:r>
        <w:rPr>
          <w:rFonts w:hint="eastAsia" w:ascii="仿宋_GB2312" w:hAnsi="宋体" w:eastAsia="仿宋_GB2312" w:cs="仿宋_GB2312"/>
          <w:i w:val="0"/>
          <w:iCs w:val="0"/>
          <w:color w:val="000000"/>
          <w:spacing w:val="0"/>
          <w:kern w:val="0"/>
          <w:sz w:val="31"/>
          <w:szCs w:val="31"/>
          <w:shd w:val="clear" w:fill="FFFFFF"/>
          <w:lang w:val="en-US" w:eastAsia="zh-CN" w:bidi="ar"/>
        </w:rPr>
        <w:t>断优化政府信息公开平台网页界面设计，规范政府信息公开专栏设置，</w:t>
      </w:r>
      <w:r>
        <w:rPr>
          <w:rFonts w:ascii="仿宋_GB2312" w:hAnsi="宋体" w:eastAsia="仿宋_GB2312" w:cs="仿宋_GB2312"/>
          <w:i w:val="0"/>
          <w:iCs w:val="0"/>
          <w:color w:val="000000"/>
          <w:spacing w:val="0"/>
          <w:kern w:val="0"/>
          <w:sz w:val="31"/>
          <w:szCs w:val="31"/>
          <w:shd w:val="clear" w:fill="FFFFFF"/>
          <w:lang w:val="en-US" w:eastAsia="zh-CN" w:bidi="ar"/>
        </w:rPr>
        <w:t>加强日常监测与维护，建立健全网络安全防护制度，</w:t>
      </w:r>
      <w:r>
        <w:rPr>
          <w:rFonts w:hint="eastAsia" w:ascii="仿宋_GB2312" w:hAnsi="宋体" w:eastAsia="仿宋_GB2312" w:cs="仿宋_GB2312"/>
          <w:i w:val="0"/>
          <w:iCs w:val="0"/>
          <w:color w:val="000000"/>
          <w:spacing w:val="0"/>
          <w:kern w:val="0"/>
          <w:sz w:val="31"/>
          <w:szCs w:val="31"/>
          <w:shd w:val="clear" w:fill="FFFFFF"/>
          <w:lang w:val="en-US" w:eastAsia="zh-CN" w:bidi="ar"/>
        </w:rPr>
        <w:t>进一步优化了栏目结构，丰富信息公开内容，充分发挥政府网站的信息发布主阵地作用。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宋体" w:eastAsia="仿宋_GB2312" w:cs="仿宋_GB2312"/>
          <w:color w:val="000000"/>
          <w:kern w:val="0"/>
          <w:sz w:val="31"/>
          <w:szCs w:val="31"/>
          <w:lang w:val="en-US" w:eastAsia="zh-CN" w:bidi="ar"/>
        </w:rPr>
      </w:pPr>
      <w:r>
        <w:rPr>
          <w:rStyle w:val="9"/>
          <w:rFonts w:hint="eastAsia" w:ascii="楷体_GB2312" w:eastAsia="楷体_GB2312"/>
          <w:color w:val="333333"/>
          <w:sz w:val="32"/>
        </w:rPr>
        <w:t>（五）监督保障方面。</w:t>
      </w:r>
      <w:r>
        <w:rPr>
          <w:rFonts w:hint="eastAsia" w:ascii="仿宋_GB2312" w:hAnsi="宋体" w:eastAsia="仿宋_GB2312" w:cs="仿宋_GB2312"/>
          <w:i w:val="0"/>
          <w:iCs w:val="0"/>
          <w:color w:val="000000"/>
          <w:spacing w:val="0"/>
          <w:kern w:val="0"/>
          <w:sz w:val="31"/>
          <w:szCs w:val="31"/>
          <w:shd w:val="clear" w:fill="FFFFFF"/>
          <w:lang w:val="en-US" w:eastAsia="zh-CN" w:bidi="ar"/>
        </w:rPr>
        <w:t>加强审查监督，</w:t>
      </w:r>
      <w:r>
        <w:rPr>
          <w:rFonts w:ascii="仿宋_GB2312" w:hAnsi="宋体" w:eastAsia="仿宋_GB2312" w:cs="仿宋_GB2312"/>
          <w:i w:val="0"/>
          <w:iCs w:val="0"/>
          <w:color w:val="000000"/>
          <w:spacing w:val="0"/>
          <w:kern w:val="0"/>
          <w:sz w:val="31"/>
          <w:szCs w:val="31"/>
          <w:shd w:val="clear" w:fill="FFFFFF"/>
          <w:lang w:val="en-US" w:eastAsia="zh-CN" w:bidi="ar"/>
        </w:rPr>
        <w:t>严格按照政府信息公开保密审查制度，落实审核责任，认真做好信息采集、编辑、审核及发布工作。</w:t>
      </w:r>
      <w:r>
        <w:rPr>
          <w:rFonts w:hint="eastAsia" w:ascii="仿宋_GB2312" w:hAnsi="宋体" w:eastAsia="仿宋_GB2312" w:cs="仿宋_GB2312"/>
          <w:i w:val="0"/>
          <w:iCs w:val="0"/>
          <w:color w:val="000000"/>
          <w:spacing w:val="0"/>
          <w:kern w:val="0"/>
          <w:sz w:val="31"/>
          <w:szCs w:val="31"/>
          <w:shd w:val="clear" w:fill="FFFFFF"/>
          <w:lang w:val="en-US" w:eastAsia="zh-CN" w:bidi="ar"/>
        </w:rPr>
        <w:t>加强组织领导，不断提高相关人员能力，将政府信息公开各项工作落实到位， 定期对已发布信息进行自查，及时纠正存在的问题。</w:t>
      </w:r>
      <w:r>
        <w:rPr>
          <w:rFonts w:ascii="仿宋_GB2312" w:hAnsi="宋体" w:eastAsia="仿宋_GB2312" w:cs="仿宋_GB2312"/>
          <w:color w:val="000000"/>
          <w:kern w:val="0"/>
          <w:sz w:val="31"/>
          <w:szCs w:val="31"/>
          <w:lang w:val="en-US" w:eastAsia="zh-CN" w:bidi="ar"/>
        </w:rPr>
        <w:t>组织开展全县政务公开工作培训</w:t>
      </w:r>
      <w:r>
        <w:rPr>
          <w:rFonts w:hint="eastAsia" w:ascii="仿宋_GB2312" w:hAnsi="宋体" w:eastAsia="仿宋_GB2312" w:cs="仿宋_GB2312"/>
          <w:color w:val="000000"/>
          <w:kern w:val="0"/>
          <w:sz w:val="31"/>
          <w:szCs w:val="31"/>
          <w:lang w:val="en-US" w:eastAsia="zh-CN" w:bidi="ar"/>
        </w:rPr>
        <w:t>1次、网民留言办理工作视频培训1次，不断提高我县政务公开工作的质量和实效。</w:t>
      </w:r>
    </w:p>
    <w:p>
      <w:pPr>
        <w:keepNext w:val="0"/>
        <w:keepLines w:val="0"/>
        <w:widowControl/>
        <w:suppressLineNumbers w:val="0"/>
        <w:ind w:firstLine="632" w:firstLineChars="200"/>
        <w:jc w:val="left"/>
        <w:rPr>
          <w:rFonts w:hint="eastAsia" w:ascii="黑体" w:eastAsia="黑体" w:cs="黑体"/>
          <w:i w:val="0"/>
          <w:caps w:val="0"/>
          <w:smallCaps w:val="0"/>
          <w:snapToGrid w:val="0"/>
          <w:color w:val="auto"/>
          <w:spacing w:val="0"/>
          <w:kern w:val="0"/>
          <w:sz w:val="32"/>
          <w:szCs w:val="32"/>
          <w:shd w:val="clear" w:color="auto" w:fill="FFFFFF"/>
          <w:lang w:val="en-US" w:eastAsia="zh-CN"/>
        </w:rPr>
      </w:pPr>
      <w:r>
        <w:rPr>
          <w:rFonts w:hint="eastAsia" w:ascii="黑体" w:eastAsia="黑体" w:cs="黑体"/>
          <w:i w:val="0"/>
          <w:caps w:val="0"/>
          <w:smallCaps w:val="0"/>
          <w:snapToGrid w:val="0"/>
          <w:color w:val="auto"/>
          <w:spacing w:val="0"/>
          <w:kern w:val="0"/>
          <w:sz w:val="32"/>
          <w:szCs w:val="32"/>
          <w:shd w:val="clear" w:color="auto" w:fill="FFFFFF"/>
          <w:lang w:val="en-US" w:eastAsia="zh-CN"/>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本年</w:t>
            </w:r>
            <w:r>
              <w:rPr>
                <w:rFonts w:hint="eastAsia" w:ascii="宋体" w:eastAsia="宋体" w:cs="宋体"/>
                <w:color w:val="auto"/>
                <w:kern w:val="0"/>
                <w:sz w:val="20"/>
                <w:szCs w:val="20"/>
                <w:lang w:val="en-US" w:eastAsia="zh-CN"/>
              </w:rPr>
              <w:t>制发件数</w:t>
            </w:r>
          </w:p>
        </w:tc>
        <w:tc>
          <w:tcPr>
            <w:tcW w:w="2435" w:type="dxa"/>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现行有效件</w:t>
            </w:r>
            <w:r>
              <w:rPr>
                <w:rFonts w:hint="eastAsia" w:ascii="宋体" w:eastAsia="宋体" w:cs="宋体"/>
                <w:color w:val="auto"/>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3</w:t>
            </w:r>
          </w:p>
        </w:tc>
        <w:tc>
          <w:tcPr>
            <w:tcW w:w="2435"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8" w:firstLineChars="50"/>
              <w:jc w:val="center"/>
              <w:rPr>
                <w:rFonts w:hint="eastAsia" w:eastAsia="仿宋_GB2312"/>
                <w:lang w:val="en-US" w:eastAsia="zh-CN"/>
              </w:rPr>
            </w:pPr>
            <w:r>
              <w:rPr>
                <w:rFonts w:hint="eastAsia" w:ascii="宋体" w:eastAsia="宋体" w:cs="宋体"/>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shd w:val="clear" w:color="auto" w:fill="auto"/>
            <w:noWrap/>
            <w:tcMar>
              <w:left w:w="57" w:type="dxa"/>
              <w:right w:w="57" w:type="dxa"/>
            </w:tcMar>
            <w:vAlign w:val="center"/>
          </w:tcPr>
          <w:p>
            <w:pPr>
              <w:ind w:firstLine="236" w:firstLineChars="100"/>
              <w:jc w:val="center"/>
              <w:rPr>
                <w:rFonts w:hint="eastAsia" w:ascii="宋体" w:hAnsi="宋体" w:eastAsia="仿宋_GB2312"/>
                <w:sz w:val="24"/>
                <w:szCs w:val="24"/>
                <w:lang w:val="en-US" w:eastAsia="zh-CN"/>
              </w:rPr>
            </w:pPr>
            <w:r>
              <w:rPr>
                <w:rFonts w:hint="eastAsia" w:ascii="宋体" w:hAnsi="宋体"/>
                <w:sz w:val="24"/>
                <w:szCs w:val="24"/>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90" w:beforeLines="50" w:beforeAutospacing="0" w:after="0" w:afterAutospacing="0" w:line="560" w:lineRule="exact"/>
        <w:ind w:right="0" w:firstLine="632" w:firstLineChars="200"/>
        <w:jc w:val="both"/>
        <w:textAlignment w:val="auto"/>
        <w:rPr>
          <w:rFonts w:hint="eastAsia" w:ascii="黑体" w:eastAsia="黑体" w:cs="黑体"/>
          <w:i w:val="0"/>
          <w:caps w:val="0"/>
          <w:smallCaps w:val="0"/>
          <w:snapToGrid w:val="0"/>
          <w:color w:val="auto"/>
          <w:spacing w:val="0"/>
          <w:kern w:val="0"/>
          <w:sz w:val="32"/>
          <w:szCs w:val="32"/>
          <w:shd w:val="clear" w:color="auto" w:fill="FFFFFF"/>
          <w:lang w:val="en-US" w:eastAsia="zh-CN"/>
        </w:rPr>
      </w:pPr>
      <w:r>
        <w:rPr>
          <w:rFonts w:hint="eastAsia" w:ascii="黑体" w:eastAsia="黑体" w:cs="黑体"/>
          <w:i w:val="0"/>
          <w:caps w:val="0"/>
          <w:smallCaps w:val="0"/>
          <w:snapToGrid w:val="0"/>
          <w:color w:val="auto"/>
          <w:spacing w:val="0"/>
          <w:kern w:val="0"/>
          <w:sz w:val="32"/>
          <w:szCs w:val="32"/>
          <w:shd w:val="clear" w:color="auto" w:fill="FFFFFF"/>
          <w:lang w:val="en-US" w:eastAsia="zh-CN"/>
        </w:rPr>
        <w:t>三、收到和处理政府信息公开申请情况</w:t>
      </w: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2"/>
        <w:gridCol w:w="3216"/>
        <w:gridCol w:w="688"/>
        <w:gridCol w:w="689"/>
        <w:gridCol w:w="689"/>
        <w:gridCol w:w="689"/>
        <w:gridCol w:w="689"/>
        <w:gridCol w:w="689"/>
        <w:gridCol w:w="6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eastAsia="楷体" w:cs="楷体"/>
                <w:color w:val="auto"/>
                <w:kern w:val="0"/>
                <w:sz w:val="20"/>
                <w:szCs w:val="20"/>
                <w:lang w:val="en-US" w:eastAsia="zh-CN"/>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noWrap/>
            <w:tcMar>
              <w:left w:w="108" w:type="dxa"/>
              <w:right w:w="108" w:type="dxa"/>
            </w:tcMar>
            <w:vAlign w:val="center"/>
          </w:tcPr>
          <w:p/>
        </w:tc>
        <w:tc>
          <w:tcPr>
            <w:tcW w:w="688" w:type="dxa"/>
            <w:vMerge w:val="restart"/>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sz w:val="24"/>
                <w:szCs w:val="24"/>
              </w:rPr>
            </w:pPr>
            <w:r>
              <w:rPr>
                <w:rFonts w:hint="eastAsia" w:ascii="宋体" w:eastAsia="宋体" w:cs="宋体"/>
                <w:color w:val="auto"/>
                <w:kern w:val="0"/>
                <w:sz w:val="20"/>
                <w:szCs w:val="20"/>
                <w:lang w:val="en-US" w:eastAsia="zh-CN"/>
              </w:rPr>
              <w:t>自然人</w:t>
            </w:r>
          </w:p>
        </w:tc>
        <w:tc>
          <w:tcPr>
            <w:tcW w:w="3445" w:type="dxa"/>
            <w:gridSpan w:val="5"/>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法人或其他组织</w:t>
            </w:r>
          </w:p>
        </w:tc>
        <w:tc>
          <w:tcPr>
            <w:tcW w:w="690" w:type="dxa"/>
            <w:vMerge w:val="restart"/>
            <w:tcBorders>
              <w:top w:val="single" w:color="auto" w:sz="8" w:space="0"/>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noWrap/>
            <w:tcMar>
              <w:left w:w="108" w:type="dxa"/>
              <w:right w:w="108" w:type="dxa"/>
            </w:tcMar>
            <w:vAlign w:val="center"/>
          </w:tcPr>
          <w:p/>
        </w:tc>
        <w:tc>
          <w:tcPr>
            <w:tcW w:w="688" w:type="dxa"/>
            <w:vMerge w:val="continue"/>
            <w:tcBorders>
              <w:top w:val="nil"/>
              <w:left w:val="nil"/>
              <w:bottom w:val="single" w:color="auto" w:sz="8" w:space="0"/>
              <w:right w:val="single" w:color="auto" w:sz="8" w:space="0"/>
            </w:tcBorders>
            <w:shd w:val="clear" w:color="auto" w:fill="auto"/>
            <w:noWrap/>
            <w:tcMar>
              <w:left w:w="57" w:type="dxa"/>
              <w:right w:w="57" w:type="dxa"/>
            </w:tcMar>
            <w:vAlign w:val="center"/>
          </w:tcP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sz w:val="24"/>
                <w:szCs w:val="24"/>
              </w:rPr>
            </w:pPr>
            <w:r>
              <w:rPr>
                <w:rFonts w:hint="eastAsia" w:ascii="宋体" w:eastAsia="宋体" w:cs="宋体"/>
                <w:color w:val="auto"/>
                <w:kern w:val="0"/>
                <w:sz w:val="20"/>
                <w:szCs w:val="20"/>
                <w:lang w:val="en-US" w:eastAsia="zh-CN"/>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企业</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机构</w:t>
            </w:r>
          </w:p>
        </w:tc>
        <w:tc>
          <w:tcPr>
            <w:tcW w:w="689" w:type="dxa"/>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社会公益组织</w:t>
            </w:r>
          </w:p>
        </w:tc>
        <w:tc>
          <w:tcPr>
            <w:tcW w:w="689" w:type="dxa"/>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法律服务机构</w:t>
            </w:r>
          </w:p>
        </w:tc>
        <w:tc>
          <w:tcPr>
            <w:tcW w:w="689" w:type="dxa"/>
            <w:tcBorders>
              <w:top w:val="single" w:color="auto" w:sz="8" w:space="0"/>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eastAsia="宋体" w:cs="宋体"/>
                <w:color w:val="auto"/>
                <w:kern w:val="0"/>
                <w:sz w:val="20"/>
                <w:szCs w:val="20"/>
                <w:lang w:val="en-US" w:eastAsia="zh-CN"/>
              </w:rPr>
              <w:t>其他</w:t>
            </w:r>
          </w:p>
        </w:tc>
        <w:tc>
          <w:tcPr>
            <w:tcW w:w="690" w:type="dxa"/>
            <w:vMerge w:val="continue"/>
            <w:tcBorders>
              <w:top w:val="single" w:color="auto" w:sz="8" w:space="0"/>
              <w:left w:val="nil"/>
              <w:bottom w:val="outset" w:color="auto" w:sz="8" w:space="0"/>
              <w:right w:val="single" w:color="auto" w:sz="8" w:space="0"/>
            </w:tcBorders>
            <w:shd w:val="clear" w:color="auto" w:fill="auto"/>
            <w:noWrap/>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5</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1</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三、本年度办理结果</w:t>
            </w:r>
          </w:p>
        </w:tc>
        <w:tc>
          <w:tcPr>
            <w:tcW w:w="4158" w:type="dxa"/>
            <w:gridSpan w:val="2"/>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（一）予以公开</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single" w:color="auto" w:sz="8" w:space="0"/>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4158" w:type="dxa"/>
            <w:gridSpan w:val="2"/>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（二）部分公开</w:t>
            </w:r>
            <w:r>
              <w:rPr>
                <w:rFonts w:ascii="楷体" w:eastAsia="楷体" w:cs="楷体"/>
                <w:color w:val="auto"/>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restart"/>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（三）不予公开</w:t>
            </w: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1.属于国家秘密</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single" w:color="auto" w:sz="8" w:space="0"/>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auto"/>
                <w:kern w:val="2"/>
                <w:sz w:val="32"/>
                <w:szCs w:val="32"/>
                <w:lang w:val="en-US" w:eastAsia="zh-CN" w:bidi="ar-SA"/>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3.危及“三安全一稳定”</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4.保护第三方合法权益</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6.属于四类过程性信息</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7.属于行政执法案卷</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8.属于行政查询事项</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restart"/>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（四）无法提供</w:t>
            </w: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color w:val="auto"/>
                <w:kern w:val="0"/>
                <w:sz w:val="20"/>
                <w:szCs w:val="20"/>
                <w:lang w:val="en-US" w:eastAsia="zh-CN"/>
              </w:rPr>
              <w:t>5</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1</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restart"/>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（五）不予处理</w:t>
            </w: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1.信访举报投诉类申请</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2.重复申请</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3.要求提供公开出版物</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nil"/>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sz w:val="24"/>
                <w:szCs w:val="24"/>
              </w:rPr>
            </w:pPr>
            <w:r>
              <w:rPr>
                <w:rFonts w:hint="eastAsia" w:ascii="宋体" w:eastAsia="宋体" w:cs="宋体"/>
                <w:color w:val="auto"/>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outset"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restart"/>
            <w:tcBorders>
              <w:top w:val="outset" w:color="auto" w:sz="8" w:space="0"/>
              <w:left w:val="nil"/>
              <w:bottom w:val="outset"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（六）其他处理</w:t>
            </w:r>
          </w:p>
        </w:tc>
        <w:tc>
          <w:tcPr>
            <w:tcW w:w="3216"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eastAsia="宋体" w:cs="宋体"/>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outset" w:color="auto" w:sz="8" w:space="0"/>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sz w:val="24"/>
                <w:szCs w:val="24"/>
              </w:rPr>
            </w:pPr>
            <w:r>
              <w:rPr>
                <w:rFonts w:hint="eastAsia" w:ascii="宋体" w:eastAsia="宋体" w:cs="宋体"/>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942" w:type="dxa"/>
            <w:vMerge w:val="continue"/>
            <w:tcBorders>
              <w:top w:val="outset" w:color="auto" w:sz="8" w:space="0"/>
              <w:left w:val="nil"/>
              <w:bottom w:val="outset" w:color="auto" w:sz="8" w:space="0"/>
              <w:right w:val="single" w:color="auto" w:sz="8" w:space="0"/>
            </w:tcBorders>
            <w:shd w:val="clear" w:color="auto" w:fill="auto"/>
            <w:noWrap/>
            <w:tcMar>
              <w:left w:w="57" w:type="dxa"/>
              <w:right w:w="57" w:type="dxa"/>
            </w:tcMar>
            <w:vAlign w:val="center"/>
          </w:tcPr>
          <w:p/>
        </w:tc>
        <w:tc>
          <w:tcPr>
            <w:tcW w:w="3216"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3.其他</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noWrap/>
            <w:tcMar>
              <w:left w:w="57" w:type="dxa"/>
              <w:right w:w="57" w:type="dxa"/>
            </w:tcMar>
            <w:vAlign w:val="center"/>
          </w:tcPr>
          <w:p/>
        </w:tc>
        <w:tc>
          <w:tcPr>
            <w:tcW w:w="4158" w:type="dxa"/>
            <w:gridSpan w:val="2"/>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sz w:val="24"/>
                <w:szCs w:val="24"/>
              </w:rPr>
            </w:pPr>
            <w:r>
              <w:rPr>
                <w:rFonts w:hint="eastAsia" w:ascii="宋体" w:eastAsia="宋体" w:cs="宋体"/>
                <w:color w:val="auto"/>
                <w:kern w:val="0"/>
                <w:sz w:val="20"/>
                <w:szCs w:val="20"/>
                <w:lang w:val="en-US" w:eastAsia="zh-CN"/>
              </w:rPr>
              <w:t>（七）总计</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5</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1</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eastAsia="宋体" w:cs="宋体"/>
                <w:color w:val="auto"/>
                <w:kern w:val="0"/>
                <w:sz w:val="20"/>
                <w:szCs w:val="20"/>
                <w:lang w:val="en-US" w:eastAsia="zh-CN"/>
              </w:rPr>
              <w:t>四、结转下年度继续办理</w:t>
            </w:r>
          </w:p>
        </w:tc>
        <w:tc>
          <w:tcPr>
            <w:tcW w:w="688"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2</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noWrap/>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90" w:type="dxa"/>
            <w:tcBorders>
              <w:top w:val="nil"/>
              <w:left w:val="nil"/>
              <w:bottom w:val="single" w:color="auto" w:sz="8" w:space="0"/>
              <w:right w:val="single" w:color="auto" w:sz="8" w:space="0"/>
            </w:tcBorders>
            <w:shd w:val="clear" w:color="auto" w:fill="auto"/>
            <w:noWrap/>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sz w:val="24"/>
                <w:szCs w:val="24"/>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90" w:beforeLines="50" w:beforeAutospacing="0" w:after="0" w:afterAutospacing="0" w:line="560" w:lineRule="exact"/>
        <w:ind w:right="0" w:firstLine="632" w:firstLineChars="200"/>
        <w:jc w:val="both"/>
        <w:textAlignment w:val="auto"/>
        <w:rPr>
          <w:rFonts w:hint="eastAsia" w:ascii="黑体" w:eastAsia="黑体" w:cs="黑体"/>
          <w:i w:val="0"/>
          <w:caps w:val="0"/>
          <w:smallCaps w:val="0"/>
          <w:snapToGrid w:val="0"/>
          <w:color w:val="auto"/>
          <w:spacing w:val="0"/>
          <w:kern w:val="0"/>
          <w:sz w:val="32"/>
          <w:szCs w:val="32"/>
          <w:shd w:val="clear" w:color="auto" w:fill="FFFFFF"/>
          <w:lang w:val="en-US" w:eastAsia="zh-CN"/>
        </w:rPr>
      </w:pPr>
      <w:r>
        <w:rPr>
          <w:rFonts w:hint="eastAsia" w:ascii="黑体" w:eastAsia="黑体" w:cs="黑体"/>
          <w:i w:val="0"/>
          <w:caps w:val="0"/>
          <w:smallCaps w:val="0"/>
          <w:snapToGrid w:val="0"/>
          <w:color w:val="auto"/>
          <w:spacing w:val="0"/>
          <w:kern w:val="0"/>
          <w:sz w:val="32"/>
          <w:szCs w:val="32"/>
          <w:shd w:val="clear" w:color="auto" w:fill="FFFFFF"/>
          <w:lang w:val="en-US" w:eastAsia="zh-CN"/>
        </w:rPr>
        <w:t>四、政府信息公开行政复议、行政诉讼情况</w:t>
      </w: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结果</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其他</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尚未</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tc>
        <w:tc>
          <w:tcPr>
            <w:tcW w:w="642"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sz w:val="24"/>
                <w:szCs w:val="24"/>
              </w:rPr>
            </w:pPr>
            <w:r>
              <w:rPr>
                <w:rFonts w:hint="eastAsia" w:ascii="宋体" w:eastAsia="宋体" w:cs="宋体"/>
                <w:color w:val="auto"/>
                <w:kern w:val="0"/>
                <w:sz w:val="20"/>
                <w:szCs w:val="20"/>
                <w:lang w:val="en-US" w:eastAsia="zh-CN"/>
              </w:rPr>
              <w:t>结果</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维持</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结果</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其他</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尚未</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000000"/>
                <w:kern w:val="0"/>
                <w:sz w:val="20"/>
                <w:szCs w:val="20"/>
                <w:lang w:val="en-US" w:eastAsia="zh-CN"/>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结果</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结果</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000000"/>
                <w:kern w:val="0"/>
                <w:sz w:val="20"/>
                <w:szCs w:val="20"/>
                <w:lang w:val="en-US" w:eastAsia="zh-CN"/>
              </w:rPr>
              <w:t>其他</w:t>
            </w:r>
            <w:r>
              <w:rPr>
                <w:rFonts w:hint="eastAsia" w:ascii="宋体" w:eastAsia="宋体" w:cs="宋体"/>
                <w:color w:val="000000"/>
                <w:kern w:val="0"/>
                <w:sz w:val="20"/>
                <w:szCs w:val="20"/>
                <w:lang w:val="en-US" w:eastAsia="zh-CN"/>
              </w:rPr>
              <w:br w:type="textWrapping"/>
            </w:r>
            <w:r>
              <w:rPr>
                <w:rFonts w:hint="eastAsia" w:ascii="宋体" w:eastAsia="宋体" w:cs="宋体"/>
                <w:color w:val="000000"/>
                <w:kern w:val="0"/>
                <w:sz w:val="20"/>
                <w:szCs w:val="20"/>
                <w:lang w:val="en-US" w:eastAsia="zh-CN"/>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auto"/>
                <w:kern w:val="0"/>
                <w:sz w:val="20"/>
                <w:szCs w:val="20"/>
                <w:lang w:val="en-US" w:eastAsia="zh-CN"/>
              </w:rPr>
              <w:t>尚未</w:t>
            </w:r>
            <w:r>
              <w:rPr>
                <w:rFonts w:hint="eastAsia" w:ascii="宋体" w:eastAsia="宋体" w:cs="宋体"/>
                <w:color w:val="auto"/>
                <w:kern w:val="0"/>
                <w:sz w:val="20"/>
                <w:szCs w:val="20"/>
                <w:lang w:val="en-US" w:eastAsia="zh-CN"/>
              </w:rPr>
              <w:br w:type="textWrapping"/>
            </w:r>
            <w:r>
              <w:rPr>
                <w:rFonts w:hint="eastAsia" w:ascii="宋体" w:eastAsia="宋体" w:cs="宋体"/>
                <w:color w:val="auto"/>
                <w:kern w:val="0"/>
                <w:sz w:val="20"/>
                <w:szCs w:val="20"/>
                <w:lang w:val="en-US" w:eastAsia="zh-CN"/>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eastAsia="宋体" w:cs="宋体"/>
                <w:color w:val="000000"/>
                <w:kern w:val="0"/>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1</w:t>
            </w:r>
            <w:r>
              <w:rPr>
                <w:rFonts w:ascii="Calibri" w:hAnsi="Calibri" w:eastAsia="仿宋_GB2312" w:cs="Calibri"/>
                <w:color w:val="auto"/>
                <w:kern w:val="0"/>
                <w:sz w:val="20"/>
                <w:szCs w:val="20"/>
                <w:lang w:val="en-US" w:eastAsia="zh-CN"/>
              </w:rPr>
              <w:t> </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1</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2" w:type="dxa"/>
            <w:tcBorders>
              <w:top w:val="nil"/>
              <w:left w:val="single" w:color="auto" w:sz="8" w:space="0"/>
              <w:bottom w:val="single" w:color="auto" w:sz="8" w:space="0"/>
              <w:right w:val="single" w:color="auto" w:sz="8" w:space="0"/>
            </w:tcBorders>
            <w:shd w:val="clear" w:color="auto" w:fill="auto"/>
            <w:noWrap/>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1</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r>
              <w:rPr>
                <w:rFonts w:ascii="Calibri" w:hAnsi="Calibri" w:eastAsia="仿宋_GB2312" w:cs="Calibri"/>
                <w:color w:val="auto"/>
                <w:kern w:val="0"/>
                <w:sz w:val="20"/>
                <w:szCs w:val="20"/>
                <w:lang w:val="en-US" w:eastAsia="zh-CN"/>
              </w:rPr>
              <w:t> </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4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sz w:val="24"/>
                <w:szCs w:val="24"/>
              </w:rPr>
            </w:pPr>
            <w:r>
              <w:rPr>
                <w:rFonts w:ascii="Calibri" w:hAnsi="Calibri" w:eastAsia="仿宋_GB2312" w:cs="Calibri"/>
                <w:color w:val="auto"/>
                <w:kern w:val="0"/>
                <w:sz w:val="20"/>
                <w:szCs w:val="20"/>
                <w:lang w:val="en-US" w:eastAsia="zh-CN"/>
              </w:rPr>
              <w:t> </w:t>
            </w:r>
            <w:r>
              <w:rPr>
                <w:rFonts w:hint="eastAsia" w:ascii="Calibri" w:hAnsi="Calibri" w:cs="Calibri"/>
                <w:color w:val="auto"/>
                <w:kern w:val="0"/>
                <w:sz w:val="20"/>
                <w:szCs w:val="20"/>
                <w:lang w:val="en-US" w:eastAsia="zh-CN"/>
              </w:rPr>
              <w:t>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90" w:beforeLines="50" w:beforeAutospacing="0" w:after="0" w:afterAutospacing="0" w:line="560" w:lineRule="exact"/>
        <w:ind w:left="0" w:right="0"/>
        <w:jc w:val="both"/>
        <w:textAlignment w:val="auto"/>
        <w:rPr>
          <w:rFonts w:ascii="黑体" w:eastAsia="黑体" w:cs="黑体"/>
          <w:b w:val="0"/>
          <w:bCs/>
          <w:i w:val="0"/>
          <w:caps w:val="0"/>
          <w:smallCaps w:val="0"/>
          <w:snapToGrid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90" w:beforeLines="50" w:beforeAutospacing="0" w:after="0" w:afterAutospacing="0" w:line="560" w:lineRule="exact"/>
        <w:ind w:right="0" w:firstLine="632" w:firstLineChars="200"/>
        <w:jc w:val="both"/>
        <w:textAlignment w:val="auto"/>
        <w:rPr>
          <w:rFonts w:hint="eastAsia" w:ascii="黑体" w:eastAsia="黑体" w:cs="黑体"/>
          <w:i w:val="0"/>
          <w:caps w:val="0"/>
          <w:smallCaps w:val="0"/>
          <w:snapToGrid w:val="0"/>
          <w:color w:val="auto"/>
          <w:spacing w:val="0"/>
          <w:kern w:val="0"/>
          <w:sz w:val="32"/>
          <w:szCs w:val="32"/>
          <w:shd w:val="clear" w:color="auto" w:fill="FFFFFF"/>
          <w:lang w:val="en-US" w:eastAsia="zh-CN"/>
        </w:rPr>
      </w:pPr>
      <w:r>
        <w:rPr>
          <w:rFonts w:hint="eastAsia" w:ascii="黑体" w:eastAsia="黑体" w:cs="黑体"/>
          <w:i w:val="0"/>
          <w:caps w:val="0"/>
          <w:smallCaps w:val="0"/>
          <w:snapToGrid w:val="0"/>
          <w:color w:val="auto"/>
          <w:spacing w:val="0"/>
          <w:kern w:val="0"/>
          <w:sz w:val="32"/>
          <w:szCs w:val="32"/>
          <w:shd w:val="clear" w:color="auto" w:fill="FFFFFF"/>
          <w:lang w:val="en-US" w:eastAsia="zh-CN"/>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pPr>
      <w:r>
        <w:rPr>
          <w:rFonts w:hint="eastAsia" w:ascii="仿宋_GB2312"/>
          <w:sz w:val="32"/>
          <w:szCs w:val="32"/>
        </w:rPr>
        <w:t>全面审视</w:t>
      </w:r>
      <w:r>
        <w:rPr>
          <w:rFonts w:ascii="仿宋_GB2312"/>
          <w:sz w:val="32"/>
          <w:szCs w:val="32"/>
        </w:rPr>
        <w:t>隆化县人民政府办公室</w:t>
      </w:r>
      <w:r>
        <w:rPr>
          <w:rFonts w:hint="eastAsia" w:ascii="仿宋_GB2312"/>
          <w:sz w:val="32"/>
          <w:szCs w:val="32"/>
        </w:rPr>
        <w:t>202</w:t>
      </w:r>
      <w:r>
        <w:rPr>
          <w:rFonts w:hint="eastAsia"/>
          <w:sz w:val="32"/>
          <w:szCs w:val="32"/>
          <w:lang w:val="en-US" w:eastAsia="zh-CN"/>
        </w:rPr>
        <w:t>3</w:t>
      </w:r>
      <w:r>
        <w:rPr>
          <w:rFonts w:hint="eastAsia" w:ascii="仿宋_GB2312"/>
          <w:sz w:val="32"/>
          <w:szCs w:val="32"/>
        </w:rPr>
        <w:t>年</w:t>
      </w:r>
      <w:r>
        <w:rPr>
          <w:rFonts w:hint="eastAsia"/>
          <w:sz w:val="32"/>
          <w:szCs w:val="32"/>
          <w:lang w:eastAsia="zh-CN"/>
        </w:rPr>
        <w:t>政务公开</w:t>
      </w:r>
      <w:bookmarkStart w:id="0" w:name="_GoBack"/>
      <w:bookmarkEnd w:id="0"/>
      <w:r>
        <w:rPr>
          <w:rFonts w:hint="eastAsia" w:ascii="仿宋_GB2312"/>
          <w:sz w:val="32"/>
          <w:szCs w:val="32"/>
        </w:rPr>
        <w:t>工作，</w:t>
      </w:r>
      <w:r>
        <w:rPr>
          <w:rFonts w:ascii="仿宋_GB2312" w:hAnsi="宋体" w:eastAsia="仿宋_GB2312" w:cs="仿宋_GB2312"/>
          <w:i w:val="0"/>
          <w:iCs w:val="0"/>
          <w:color w:val="000000"/>
          <w:spacing w:val="0"/>
          <w:kern w:val="0"/>
          <w:sz w:val="31"/>
          <w:szCs w:val="31"/>
          <w:shd w:val="clear" w:fill="FFFFFF"/>
          <w:lang w:val="en-US" w:eastAsia="zh-CN" w:bidi="ar"/>
        </w:rPr>
        <w:t>按照省、市、县的要求部署，</w:t>
      </w:r>
      <w:r>
        <w:rPr>
          <w:rFonts w:hint="eastAsia" w:hAnsi="宋体" w:cs="仿宋_GB2312"/>
          <w:i w:val="0"/>
          <w:iCs w:val="0"/>
          <w:color w:val="000000"/>
          <w:spacing w:val="0"/>
          <w:kern w:val="0"/>
          <w:sz w:val="31"/>
          <w:szCs w:val="31"/>
          <w:shd w:val="clear" w:fill="FFFFFF"/>
          <w:lang w:val="en-US" w:eastAsia="zh-CN" w:bidi="ar"/>
        </w:rPr>
        <w:t>在</w:t>
      </w:r>
      <w:r>
        <w:rPr>
          <w:rFonts w:ascii="仿宋_GB2312" w:hAnsi="宋体" w:eastAsia="仿宋_GB2312" w:cs="仿宋_GB2312"/>
          <w:i w:val="0"/>
          <w:iCs w:val="0"/>
          <w:color w:val="000000"/>
          <w:spacing w:val="0"/>
          <w:kern w:val="0"/>
          <w:sz w:val="31"/>
          <w:szCs w:val="31"/>
          <w:shd w:val="clear" w:fill="FFFFFF"/>
          <w:lang w:val="en-US" w:eastAsia="zh-CN" w:bidi="ar"/>
        </w:rPr>
        <w:t>围绕政府信息公开方面取得了较好的成绩，但是仍存在不足，工作人员业务水平不高、信息公开不够丰富、政策解读质量不够高等问题。</w:t>
      </w:r>
      <w:r>
        <w:rPr>
          <w:rFonts w:hint="eastAsia" w:hAnsi="宋体" w:cs="仿宋_GB2312"/>
          <w:i w:val="0"/>
          <w:iCs w:val="0"/>
          <w:color w:val="000000"/>
          <w:spacing w:val="0"/>
          <w:kern w:val="0"/>
          <w:sz w:val="31"/>
          <w:szCs w:val="31"/>
          <w:shd w:val="clear" w:fill="FFFFFF"/>
          <w:lang w:val="en-US" w:eastAsia="zh-CN" w:bidi="ar"/>
        </w:rPr>
        <w:t>2024年</w:t>
      </w:r>
      <w:r>
        <w:rPr>
          <w:rFonts w:ascii="仿宋_GB2312" w:hAnsi="宋体" w:eastAsia="仿宋_GB2312" w:cs="仿宋_GB2312"/>
          <w:i w:val="0"/>
          <w:iCs w:val="0"/>
          <w:color w:val="000000"/>
          <w:spacing w:val="0"/>
          <w:kern w:val="0"/>
          <w:sz w:val="31"/>
          <w:szCs w:val="31"/>
          <w:shd w:val="clear" w:fill="FFFFFF"/>
          <w:lang w:val="en-US" w:eastAsia="zh-CN" w:bidi="ar"/>
        </w:rPr>
        <w:t>我办将从以下几个方面持续加强整改</w:t>
      </w:r>
      <w:r>
        <w:rPr>
          <w:rFonts w:hint="eastAsia" w:hAnsi="宋体" w:cs="仿宋_GB2312"/>
          <w:i w:val="0"/>
          <w:iCs w:val="0"/>
          <w:color w:val="000000"/>
          <w:spacing w:val="0"/>
          <w:kern w:val="0"/>
          <w:sz w:val="31"/>
          <w:szCs w:val="31"/>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ascii="楷体_GB2312" w:eastAsia="楷体_GB2312"/>
          <w:b/>
          <w:bCs/>
        </w:rPr>
        <w:t>（一）不断加强队伍建设。</w:t>
      </w:r>
      <w:r>
        <w:rPr>
          <w:rFonts w:hint="eastAsia"/>
        </w:rPr>
        <w:t>加大</w:t>
      </w:r>
      <w:r>
        <w:rPr>
          <w:rFonts w:hint="eastAsia"/>
          <w:lang w:eastAsia="zh-CN"/>
        </w:rPr>
        <w:t>政务公开工作</w:t>
      </w:r>
      <w:r>
        <w:rPr>
          <w:rFonts w:hint="eastAsia"/>
        </w:rPr>
        <w:t>培训力度，把政务公开纳入领导干部和工作人员教育培训内容，切实提升依法依规公开意识和履职的责任担当。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firstLine="632" w:firstLineChars="200"/>
        <w:jc w:val="both"/>
        <w:textAlignment w:val="auto"/>
        <w:rPr>
          <w:rFonts w:hint="eastAsia"/>
        </w:rPr>
      </w:pPr>
      <w:r>
        <w:rPr>
          <w:rFonts w:hint="eastAsia" w:ascii="楷体_GB2312" w:eastAsia="楷体_GB2312"/>
          <w:b/>
          <w:bCs/>
        </w:rPr>
        <w:t>（二）强化政策解读质量。</w:t>
      </w:r>
      <w:r>
        <w:rPr>
          <w:rFonts w:hint="eastAsia"/>
        </w:rPr>
        <w:t>按照“谁起草、谁解读”的原则，按时保质进行政策解读，同时丰富政策解读形式，及时准确传递政策意图，提升政策宣传解读质量。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cs="仿宋_GB2312"/>
          <w:sz w:val="32"/>
          <w:szCs w:val="32"/>
          <w:lang w:val="en-US" w:eastAsia="zh-CN"/>
        </w:rPr>
      </w:pPr>
      <w:r>
        <w:rPr>
          <w:rFonts w:hint="eastAsia" w:ascii="楷体_GB2312" w:eastAsia="楷体_GB2312"/>
          <w:b/>
          <w:bCs/>
        </w:rPr>
        <w:t>（三）深化政府信息公开内容。</w:t>
      </w:r>
      <w:r>
        <w:rPr>
          <w:rFonts w:hint="eastAsia"/>
        </w:rPr>
        <w:t>聚焦群众关切，将群众最关心的事项纳入政府信息公开范畴，主动回应群众关切。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eastAsia="黑体" w:cs="黑体"/>
          <w:i w:val="0"/>
          <w:caps w:val="0"/>
          <w:smallCaps w:val="0"/>
          <w:snapToGrid w:val="0"/>
          <w:color w:val="auto"/>
          <w:spacing w:val="0"/>
          <w:kern w:val="0"/>
          <w:sz w:val="32"/>
          <w:szCs w:val="32"/>
          <w:shd w:val="clear" w:color="auto" w:fill="FFFFFF"/>
          <w:lang w:val="en-US" w:eastAsia="zh-CN"/>
        </w:rPr>
      </w:pPr>
      <w:r>
        <w:rPr>
          <w:rFonts w:hint="eastAsia" w:ascii="黑体" w:eastAsia="黑体" w:cs="黑体"/>
          <w:i w:val="0"/>
          <w:caps w:val="0"/>
          <w:smallCaps w:val="0"/>
          <w:snapToGrid w:val="0"/>
          <w:color w:val="auto"/>
          <w:spacing w:val="0"/>
          <w:kern w:val="0"/>
          <w:sz w:val="32"/>
          <w:szCs w:val="32"/>
          <w:shd w:val="clear" w:color="auto" w:fill="FFFFFF"/>
          <w:lang w:val="en-US" w:eastAsia="zh-CN"/>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eastAsia="仿宋_GB2312" w:cs="仿宋_GB2312"/>
          <w:i w:val="0"/>
          <w:caps w:val="0"/>
          <w:smallCaps w:val="0"/>
          <w:snapToGrid w:val="0"/>
          <w:color w:val="auto"/>
          <w:spacing w:val="0"/>
          <w:kern w:val="0"/>
          <w:sz w:val="32"/>
          <w:szCs w:val="32"/>
          <w:shd w:val="clear" w:color="auto" w:fill="FFFFFF"/>
          <w:lang w:val="en-US" w:eastAsia="zh-CN"/>
        </w:rPr>
      </w:pPr>
      <w:r>
        <w:rPr>
          <w:rFonts w:hint="eastAsia" w:ascii="仿宋_GB2312" w:eastAsia="仿宋_GB2312" w:cs="仿宋_GB2312"/>
          <w:i w:val="0"/>
          <w:caps w:val="0"/>
          <w:smallCaps w:val="0"/>
          <w:snapToGrid w:val="0"/>
          <w:color w:val="auto"/>
          <w:spacing w:val="0"/>
          <w:kern w:val="0"/>
          <w:sz w:val="32"/>
          <w:szCs w:val="32"/>
          <w:shd w:val="clear" w:color="auto" w:fill="FFFFFF"/>
          <w:lang w:val="en-US" w:eastAsia="zh-CN"/>
        </w:rPr>
        <w:t>无</w:t>
      </w:r>
    </w:p>
    <w:sectPr>
      <w:pgSz w:w="11907" w:h="16840"/>
      <w:pgMar w:top="2041" w:right="1588" w:bottom="2041" w:left="1531" w:header="851" w:footer="1587" w:gutter="454"/>
      <w:cols w:space="720" w:num="1"/>
      <w:rtlGutter w:val="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xi Sans">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CESI小标宋-GB2312">
    <w:altName w:val="方正小标宋简体"/>
    <w:panose1 w:val="02000500000000000000"/>
    <w:charset w:val="86"/>
    <w:family w:val="auto"/>
    <w:pitch w:val="default"/>
    <w:sig w:usb0="00000000" w:usb1="00000000"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57"/>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599CB522"/>
    <w:rsid w:val="FFFFD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auto"/>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customStyle="1" w:styleId="10">
    <w:name w:val="15"/>
    <w:qFormat/>
    <w:uiPriority w:val="0"/>
    <w:rPr>
      <w:rFonts w:ascii="Calibri" w:hAnsi="Calibri" w:eastAsia="仿宋_GB2312" w:cs="Arial"/>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1974</Words>
  <Characters>2049</Characters>
  <Lines>373</Lines>
  <Paragraphs>299</Paragraphs>
  <TotalTime>40</TotalTime>
  <ScaleCrop>false</ScaleCrop>
  <LinksUpToDate>false</LinksUpToDate>
  <CharactersWithSpaces>2428</CharactersWithSpaces>
  <Application>WPS Office_11.8.2.1117_F1E327BC-269C-435d-A152-05C5408002CA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2022-01-13T16:57:00Z</dcterms:created>
  <dc:creator>thtf</dc:creator>
  <cp:lastModifiedBy>chaoyue</cp:lastModifiedBy>
  <cp:lastPrinted>2024-01-30T09:53:12Z</cp:lastPrinted>
  <dcterms:modified xsi:type="dcterms:W3CDTF">2024-01-30T10:15:05Z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1CBD5D2B1D270685B855B7651B724959</vt:lpwstr>
  </property>
</Properties>
</file>